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5FE3D">
      <w:pPr>
        <w:spacing w:line="59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1602102">
      <w:pPr>
        <w:spacing w:line="59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zh-CN"/>
        </w:rPr>
      </w:pPr>
    </w:p>
    <w:p w14:paraId="42E6391D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《潮州市声环境功能区划分调整（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/>
        </w:rPr>
        <w:t>2024年修订版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）》（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）编制说明</w:t>
      </w:r>
    </w:p>
    <w:p w14:paraId="60E33188">
      <w:pPr>
        <w:spacing w:line="590" w:lineRule="exact"/>
        <w:jc w:val="center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2024年12月</w:t>
      </w:r>
    </w:p>
    <w:p w14:paraId="7C323294">
      <w:pPr>
        <w:spacing w:line="590" w:lineRule="exact"/>
        <w:rPr>
          <w:rFonts w:hint="default" w:ascii="Times New Roman" w:hAnsi="Times New Roman" w:cs="Times New Roman"/>
        </w:rPr>
      </w:pPr>
    </w:p>
    <w:p w14:paraId="1D64FE88">
      <w:pPr>
        <w:spacing w:line="590" w:lineRule="exact"/>
        <w:ind w:firstLine="632" w:firstLineChars="200"/>
        <w:outlineLvl w:val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一、编制背景与要求</w:t>
      </w:r>
    </w:p>
    <w:p w14:paraId="47394026">
      <w:pPr>
        <w:spacing w:line="590" w:lineRule="exact"/>
        <w:ind w:firstLine="632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</w:rPr>
        <w:t>声环境功能区是加强环境噪声污染防治、强化噪声源监督管理和环境执法、改善声环境质量的重要依据和手段。《中共中央 国务院关于深入打好污染防治攻坚战的意见》要求“到2025年，地级及以上城市全面实现功能区声环境质量自动监测，全国声环境功能区夜间达标率达到85%”。《关于印发&lt;“十四五”噪声污染防治行动计划&gt;的通知》提出“开展声环境功能区划定和评估，指导地方根据国家声环境质量标准和国土空间规划以及用地现状，及时划定、调整声环境功能区”。《广东省生态环境厅办公室转发生态环境部办公厅关于印发&lt;声环境功能区划分情况评估工作方案&gt;的通知》（粤环办函〔2023〕15号）要求，“深入查找区划存在的问题，据实准确评估，发现问题，及时整改，确保高质量完成评估和整改工作”</w:t>
      </w:r>
      <w:r>
        <w:rPr>
          <w:rFonts w:hint="eastAsia" w:cs="Times New Roman"/>
          <w:lang w:eastAsia="zh-CN"/>
        </w:rPr>
        <w:t>。</w:t>
      </w:r>
    </w:p>
    <w:p w14:paraId="021933E1">
      <w:pPr>
        <w:spacing w:line="590" w:lineRule="exact"/>
        <w:ind w:firstLine="632" w:firstLine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按照评估要求，声环境功能区划分方案应适时调整，原则上不超过5年调整一次。2019年12月</w:t>
      </w:r>
      <w:r>
        <w:rPr>
          <w:rFonts w:hint="eastAsia" w:cs="Times New Roman"/>
          <w:color w:val="000000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</w:rPr>
        <w:t>潮州市人民政府印发实施的《潮州市声环境功能区划分方案</w:t>
      </w:r>
      <w:bookmarkStart w:id="21" w:name="_GoBack"/>
      <w:bookmarkEnd w:id="21"/>
      <w:r>
        <w:rPr>
          <w:rFonts w:hint="default" w:ascii="Times New Roman" w:hAnsi="Times New Roman" w:cs="Times New Roman"/>
          <w:color w:val="000000"/>
        </w:rPr>
        <w:t>》</w:t>
      </w:r>
      <w:r>
        <w:rPr>
          <w:rFonts w:hint="eastAsia" w:cs="Times New Roman"/>
          <w:color w:val="000000"/>
          <w:lang w:val="en-US" w:eastAsia="zh-CN"/>
        </w:rPr>
        <w:t>至今已实施5年</w:t>
      </w:r>
      <w:r>
        <w:rPr>
          <w:rFonts w:hint="default" w:ascii="Times New Roman" w:hAnsi="Times New Roman" w:cs="Times New Roman"/>
          <w:color w:val="000000"/>
        </w:rPr>
        <w:t>。随着国土空间规划体系建立和城市建设发展，声环境功能区划所依据的</w:t>
      </w:r>
      <w:r>
        <w:rPr>
          <w:rFonts w:hint="eastAsia" w:cs="Times New Roman"/>
          <w:color w:val="000000"/>
          <w:lang w:val="en-US" w:eastAsia="zh-CN"/>
        </w:rPr>
        <w:t>城</w:t>
      </w:r>
      <w:r>
        <w:rPr>
          <w:rFonts w:hint="default" w:ascii="Times New Roman" w:hAnsi="Times New Roman" w:cs="Times New Roman"/>
          <w:color w:val="000000"/>
        </w:rPr>
        <w:t>市总体规划、土地利用现状及规划、交通干线情况等已发生较大变化，现行区划与城市规划和用地现状等不完全相适应，难以完全满足声环境管理的需要，需加快开展声环境功能区划分方案修编工作。此外，《潮州市国土空间总体规划（2021-2035年）》已经广东省人民政府正式批复，对潮州市城市建设规划布局进行了全新的规划，亟需基于国土空间规划布局对声环境功能区划进行全面修编。2023年12月，广东省生态环境厅印发《关于反馈声环境功能区划分情况评估结果的通知》，要求“尽快启动声环境功能区调整工作”。</w:t>
      </w:r>
    </w:p>
    <w:p w14:paraId="476989AB">
      <w:pPr>
        <w:spacing w:line="590" w:lineRule="exact"/>
        <w:ind w:firstLine="632" w:firstLine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目前，</w:t>
      </w:r>
      <w:r>
        <w:rPr>
          <w:rFonts w:hint="eastAsia" w:cs="Times New Roman"/>
          <w:color w:val="000000"/>
          <w:lang w:val="en-US" w:eastAsia="zh-CN"/>
        </w:rPr>
        <w:t>我局委托相关技术单位</w:t>
      </w:r>
      <w:r>
        <w:rPr>
          <w:rFonts w:hint="default" w:ascii="Times New Roman" w:hAnsi="Times New Roman" w:cs="Times New Roman"/>
          <w:color w:val="000000"/>
        </w:rPr>
        <w:t>根据国家、省、市最新要求积极开展</w:t>
      </w:r>
      <w:r>
        <w:rPr>
          <w:rFonts w:hint="eastAsia" w:cs="Times New Roman"/>
          <w:color w:val="000000"/>
          <w:lang w:val="en-US" w:eastAsia="zh-CN"/>
        </w:rPr>
        <w:t>声环境功能区划</w:t>
      </w:r>
      <w:r>
        <w:rPr>
          <w:rFonts w:hint="default" w:ascii="Times New Roman" w:hAnsi="Times New Roman" w:cs="Times New Roman"/>
          <w:color w:val="000000"/>
        </w:rPr>
        <w:t>调整工作，已编制形成《潮州市声环境功能区划分调整（2024年修订版）》（征求意见稿）。</w:t>
      </w:r>
    </w:p>
    <w:p w14:paraId="51F6048E">
      <w:pPr>
        <w:spacing w:line="590" w:lineRule="exact"/>
        <w:ind w:firstLine="632" w:firstLineChars="200"/>
        <w:outlineLvl w:val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二、编制依据</w:t>
      </w:r>
    </w:p>
    <w:p w14:paraId="04DBDFD5">
      <w:pPr>
        <w:numPr>
          <w:ilvl w:val="0"/>
          <w:numId w:val="4"/>
        </w:numPr>
        <w:spacing w:line="590" w:lineRule="exact"/>
        <w:ind w:left="0" w:firstLine="632" w:firstLineChars="200"/>
        <w:outlineLvl w:val="1"/>
        <w:rPr>
          <w:rFonts w:hint="eastAsia" w:ascii="楷体_GB2312" w:hAnsi="楷体_GB2312" w:eastAsia="楷体_GB2312" w:cs="楷体_GB2312"/>
        </w:rPr>
      </w:pPr>
      <w:bookmarkStart w:id="0" w:name="_Toc514657710"/>
      <w:bookmarkStart w:id="1" w:name="_Toc519867924"/>
      <w:bookmarkStart w:id="2" w:name="_Toc18150"/>
      <w:bookmarkStart w:id="3" w:name="_Toc23892"/>
      <w:r>
        <w:rPr>
          <w:rFonts w:hint="default" w:ascii="Times New Roman" w:hAnsi="Times New Roman" w:eastAsia="楷体_GB2312" w:cs="Times New Roman"/>
        </w:rPr>
        <w:t>法律法规</w:t>
      </w:r>
      <w:bookmarkEnd w:id="0"/>
      <w:r>
        <w:rPr>
          <w:rFonts w:hint="eastAsia" w:eastAsia="楷体_GB2312" w:cs="Times New Roman"/>
          <w:lang w:val="en-US" w:eastAsia="zh-CN"/>
        </w:rPr>
        <w:t>及</w:t>
      </w:r>
      <w:r>
        <w:rPr>
          <w:rFonts w:hint="eastAsia" w:ascii="方正楷体_GB2312" w:hAnsi="方正楷体_GB2312" w:eastAsia="方正楷体_GB2312" w:cs="方正楷体_GB2312"/>
          <w:lang w:val="en-US" w:eastAsia="zh-CN"/>
        </w:rPr>
        <w:t>政策文件</w:t>
      </w:r>
      <w:bookmarkEnd w:id="1"/>
      <w:bookmarkEnd w:id="2"/>
      <w:bookmarkEnd w:id="3"/>
    </w:p>
    <w:p w14:paraId="30425CB5">
      <w:pPr>
        <w:pStyle w:val="48"/>
        <w:spacing w:line="590" w:lineRule="exact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1.《中华人民共和国环境保护法》；</w:t>
      </w:r>
    </w:p>
    <w:p w14:paraId="55FBE056">
      <w:pPr>
        <w:pStyle w:val="48"/>
        <w:spacing w:line="590" w:lineRule="exact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2.《中华人民共和国噪声污染防治法》；</w:t>
      </w:r>
    </w:p>
    <w:p w14:paraId="55B56BFA">
      <w:pPr>
        <w:pStyle w:val="48"/>
        <w:spacing w:line="590" w:lineRule="exact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3.《广东省环境保护条例》；</w:t>
      </w:r>
    </w:p>
    <w:p w14:paraId="24A203E0">
      <w:pPr>
        <w:pStyle w:val="48"/>
        <w:spacing w:line="590" w:lineRule="exact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4.《中共中央 国务院关于深入打好污染防治攻坚战的意见》；</w:t>
      </w:r>
    </w:p>
    <w:p w14:paraId="02FF4FA8">
      <w:pPr>
        <w:pStyle w:val="48"/>
        <w:spacing w:line="590" w:lineRule="exact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5.《中共中央 国务院关于全面推进美丽中国建设的意见》；</w:t>
      </w:r>
    </w:p>
    <w:p w14:paraId="1469E039">
      <w:pPr>
        <w:pStyle w:val="48"/>
        <w:spacing w:line="590" w:lineRule="exact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6.《关于印发&lt;“十四五”噪声污染防治行动计划&gt;的通知》；</w:t>
      </w:r>
    </w:p>
    <w:p w14:paraId="03079796">
      <w:pPr>
        <w:pStyle w:val="48"/>
        <w:spacing w:line="590" w:lineRule="exact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7.《广东省实施〈中华人民共和国环境噪声污染防治法〉办法》；</w:t>
      </w:r>
    </w:p>
    <w:p w14:paraId="40D7A682">
      <w:pPr>
        <w:pStyle w:val="48"/>
        <w:spacing w:line="590" w:lineRule="exact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8.《转发生态环境部办公厅关于印发&lt;声环境功能区划分情况评估工作方案&gt;的通知》；</w:t>
      </w:r>
    </w:p>
    <w:p w14:paraId="2EECE0AB">
      <w:pPr>
        <w:pStyle w:val="48"/>
        <w:spacing w:line="590" w:lineRule="exact"/>
        <w:rPr>
          <w:rFonts w:hint="default" w:asci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bidi="ar"/>
        </w:rPr>
        <w:t>9.《广东省贯彻落实〈“十四五”噪声污染防治行动计划〉重点任务及部门分工》。</w:t>
      </w:r>
    </w:p>
    <w:p w14:paraId="6FFB8052">
      <w:pPr>
        <w:numPr>
          <w:ilvl w:val="0"/>
          <w:numId w:val="4"/>
        </w:numPr>
        <w:spacing w:line="590" w:lineRule="exact"/>
        <w:ind w:left="0" w:firstLine="632" w:firstLineChars="200"/>
        <w:outlineLvl w:val="1"/>
        <w:rPr>
          <w:rFonts w:hint="default" w:ascii="Times New Roman" w:hAnsi="Times New Roman" w:eastAsia="楷体_GB2312" w:cs="Times New Roman"/>
        </w:rPr>
      </w:pPr>
      <w:bookmarkStart w:id="4" w:name="_Toc519867925"/>
      <w:bookmarkStart w:id="5" w:name="_Toc10681"/>
      <w:bookmarkStart w:id="6" w:name="_Toc5083"/>
      <w:bookmarkStart w:id="7" w:name="_Toc514657711"/>
      <w:r>
        <w:rPr>
          <w:rFonts w:hint="default" w:ascii="Times New Roman" w:hAnsi="Times New Roman" w:eastAsia="楷体_GB2312" w:cs="Times New Roman"/>
        </w:rPr>
        <w:t>相关标准及技术规范</w:t>
      </w:r>
      <w:bookmarkEnd w:id="4"/>
      <w:bookmarkEnd w:id="5"/>
      <w:bookmarkEnd w:id="6"/>
      <w:bookmarkEnd w:id="7"/>
    </w:p>
    <w:p w14:paraId="581BD4D9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1.《声环境质量标准》（GB 3096－2008）；</w:t>
      </w:r>
    </w:p>
    <w:p w14:paraId="6C076E65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2.《声环境功能区划分技术规范》（GB/T 15190－2014）；</w:t>
      </w:r>
    </w:p>
    <w:p w14:paraId="5A24661B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3.《铁路边界噪声限值及其测量方法》（GB 12525－90）；</w:t>
      </w:r>
    </w:p>
    <w:p w14:paraId="25538EED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4.《建筑施工场界环境噪声排放标准》（GB 12523－2011）；</w:t>
      </w:r>
    </w:p>
    <w:p w14:paraId="32ED9EAC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5.《工业企业厂界环境噪声排放标准》（GB 12348—2008）；</w:t>
      </w:r>
    </w:p>
    <w:p w14:paraId="2E31B6C8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6.《城市用地分类与规划建设用地标准》（GB 50137－2011）；</w:t>
      </w:r>
    </w:p>
    <w:p w14:paraId="2D8C3BC2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7.《土地利用现状分类》（GB/T 21010－2017）；</w:t>
      </w:r>
    </w:p>
    <w:p w14:paraId="6F1DA384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8.《国土空间调查、规划、用途管制用地用海分类指南》（自然资发〔2023〕234号）；</w:t>
      </w:r>
    </w:p>
    <w:p w14:paraId="18B89D77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lang w:bidi="ar"/>
        </w:rPr>
        <w:t>9.《环境专题空间数据加工处理技术规范》（HJ 927－2017）。</w:t>
      </w:r>
    </w:p>
    <w:p w14:paraId="3EB856B5">
      <w:pPr>
        <w:numPr>
          <w:ilvl w:val="0"/>
          <w:numId w:val="4"/>
        </w:numPr>
        <w:spacing w:line="590" w:lineRule="exact"/>
        <w:ind w:left="0" w:firstLine="632" w:firstLineChars="200"/>
        <w:outlineLvl w:val="1"/>
        <w:rPr>
          <w:rFonts w:hint="default" w:ascii="Times New Roman" w:hAnsi="Times New Roman" w:eastAsia="楷体_GB2312" w:cs="Times New Roman"/>
        </w:rPr>
      </w:pPr>
      <w:bookmarkStart w:id="8" w:name="_Toc514657712"/>
      <w:bookmarkStart w:id="9" w:name="_Toc26932"/>
      <w:bookmarkStart w:id="10" w:name="_Toc519867926"/>
      <w:bookmarkStart w:id="11" w:name="_Toc32104"/>
      <w:r>
        <w:rPr>
          <w:rFonts w:hint="default" w:ascii="Times New Roman" w:hAnsi="Times New Roman" w:eastAsia="楷体_GB2312" w:cs="Times New Roman"/>
        </w:rPr>
        <w:t>相关规划</w:t>
      </w:r>
      <w:bookmarkEnd w:id="8"/>
      <w:r>
        <w:rPr>
          <w:rFonts w:hint="eastAsia" w:eastAsia="楷体_GB2312" w:cs="Times New Roman"/>
          <w:lang w:val="en-US" w:eastAsia="zh-CN"/>
        </w:rPr>
        <w:t>及基础底图</w:t>
      </w:r>
      <w:bookmarkEnd w:id="9"/>
      <w:bookmarkEnd w:id="10"/>
      <w:bookmarkEnd w:id="11"/>
    </w:p>
    <w:p w14:paraId="2663801A">
      <w:pPr>
        <w:pStyle w:val="11"/>
        <w:spacing w:line="590" w:lineRule="exact"/>
        <w:ind w:firstLine="632" w:firstLineChars="200"/>
        <w:jc w:val="both"/>
        <w:rPr>
          <w:rFonts w:hint="eastAsia" w:ascii="Times New Roman" w:hAnsi="Times New Roman" w:eastAsia="仿宋_GB2312" w:cs="Times New Roman"/>
          <w:sz w:val="32"/>
          <w:lang w:eastAsia="zh-CN"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1.《潮州市“三线一单”生态环境分区管控方案》</w:t>
      </w:r>
      <w:r>
        <w:rPr>
          <w:rFonts w:hint="eastAsia" w:cs="Times New Roman"/>
          <w:sz w:val="32"/>
          <w:lang w:eastAsia="zh-CN" w:bidi="ar"/>
        </w:rPr>
        <w:t>；</w:t>
      </w:r>
    </w:p>
    <w:p w14:paraId="3617590F">
      <w:pPr>
        <w:pStyle w:val="11"/>
        <w:spacing w:line="590" w:lineRule="exact"/>
        <w:ind w:firstLine="632" w:firstLineChars="200"/>
        <w:jc w:val="both"/>
        <w:rPr>
          <w:rFonts w:hint="eastAsia" w:ascii="Times New Roman" w:hAnsi="Times New Roman" w:eastAsia="仿宋_GB2312" w:cs="Times New Roman"/>
          <w:sz w:val="32"/>
          <w:lang w:eastAsia="zh-CN"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2.《潮州市生态文明建设“十四五”规划》</w:t>
      </w:r>
      <w:r>
        <w:rPr>
          <w:rFonts w:hint="eastAsia" w:cs="Times New Roman"/>
          <w:sz w:val="32"/>
          <w:lang w:eastAsia="zh-CN" w:bidi="ar"/>
        </w:rPr>
        <w:t>；</w:t>
      </w:r>
    </w:p>
    <w:p w14:paraId="222204BB">
      <w:pPr>
        <w:pStyle w:val="11"/>
        <w:spacing w:line="590" w:lineRule="exact"/>
        <w:ind w:firstLine="632" w:firstLineChars="200"/>
        <w:jc w:val="both"/>
        <w:rPr>
          <w:rFonts w:hint="eastAsia" w:ascii="Times New Roman" w:hAnsi="Times New Roman" w:eastAsia="仿宋_GB2312" w:cs="Times New Roman"/>
          <w:sz w:val="32"/>
          <w:lang w:eastAsia="zh-CN"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3.《潮州市生态环境保护“十四五”规划》</w:t>
      </w:r>
      <w:r>
        <w:rPr>
          <w:rFonts w:hint="eastAsia" w:cs="Times New Roman"/>
          <w:sz w:val="32"/>
          <w:lang w:eastAsia="zh-CN" w:bidi="ar"/>
        </w:rPr>
        <w:t>；</w:t>
      </w:r>
    </w:p>
    <w:p w14:paraId="64BE6612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4.《潮州市综合交通运输体系发展“十四五”规划》；</w:t>
      </w:r>
    </w:p>
    <w:p w14:paraId="61CA8121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5.《潮州市综合立体交通网规划（2021—2035年）》；</w:t>
      </w:r>
    </w:p>
    <w:p w14:paraId="14DD0FC5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6.《潮州市自然保护地规划（2022—2035年）》；</w:t>
      </w:r>
    </w:p>
    <w:p w14:paraId="4B8AE816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7.《潮州市国土空间总体规划（2021—2035年）》；</w:t>
      </w:r>
    </w:p>
    <w:p w14:paraId="677404B2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8.《潮安区国土空间总体规划（2021—2035年）》；</w:t>
      </w:r>
    </w:p>
    <w:p w14:paraId="0A2D6384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9.《饶平县国土空间总体规划（2021—2035年）》；</w:t>
      </w:r>
    </w:p>
    <w:p w14:paraId="563959E9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10.潮州市（湘桥区、枫溪镇）控制性详细规划成果及矢量数据；</w:t>
      </w:r>
    </w:p>
    <w:p w14:paraId="57C5563E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  <w:sz w:val="32"/>
          <w:lang w:bidi="ar"/>
        </w:rPr>
      </w:pPr>
      <w:r>
        <w:rPr>
          <w:rFonts w:hint="default" w:ascii="Times New Roman" w:hAnsi="Times New Roman" w:cs="Times New Roman"/>
          <w:sz w:val="32"/>
          <w:lang w:bidi="ar"/>
        </w:rPr>
        <w:t>11.潮安区城区控制性详细规划成果及矢量数据；</w:t>
      </w:r>
    </w:p>
    <w:p w14:paraId="50137855">
      <w:pPr>
        <w:pStyle w:val="11"/>
        <w:spacing w:line="590" w:lineRule="exact"/>
        <w:ind w:firstLine="632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lang w:bidi="ar"/>
        </w:rPr>
        <w:t>12.饶平县县城区控制性详细规划成果及矢量数据。</w:t>
      </w:r>
    </w:p>
    <w:p w14:paraId="54A578AD">
      <w:pPr>
        <w:spacing w:line="590" w:lineRule="exact"/>
        <w:ind w:firstLine="632" w:firstLineChars="200"/>
        <w:outlineLvl w:val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三、编制过程</w:t>
      </w:r>
    </w:p>
    <w:p w14:paraId="7F780219">
      <w:pPr>
        <w:spacing w:line="59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我局高度重视并全力推进区划调整工作</w:t>
      </w:r>
      <w:r>
        <w:rPr>
          <w:rFonts w:hint="default" w:ascii="Times New Roman" w:hAnsi="Times New Roman" w:cs="Times New Roman"/>
          <w:szCs w:val="28"/>
        </w:rPr>
        <w:t>，</w:t>
      </w:r>
      <w:r>
        <w:rPr>
          <w:rFonts w:hint="default" w:ascii="Times New Roman" w:hAnsi="Times New Roman" w:cs="Times New Roman"/>
        </w:rPr>
        <w:t>于</w:t>
      </w:r>
      <w:r>
        <w:rPr>
          <w:rFonts w:hint="default" w:ascii="Times New Roman" w:hAnsi="Times New Roman" w:cs="Times New Roman"/>
          <w:szCs w:val="28"/>
        </w:rPr>
        <w:t>202</w:t>
      </w:r>
      <w:r>
        <w:rPr>
          <w:rFonts w:hint="eastAsia" w:cs="Times New Roman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Cs w:val="28"/>
        </w:rPr>
        <w:t>年</w:t>
      </w:r>
      <w:r>
        <w:rPr>
          <w:rFonts w:hint="eastAsia" w:cs="Times New Roman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Cs w:val="28"/>
        </w:rPr>
        <w:t>月</w:t>
      </w:r>
      <w:r>
        <w:rPr>
          <w:rFonts w:hint="eastAsia" w:cs="Times New Roman"/>
          <w:szCs w:val="28"/>
          <w:lang w:val="en-US" w:eastAsia="zh-CN"/>
        </w:rPr>
        <w:t>委托</w:t>
      </w:r>
      <w:r>
        <w:rPr>
          <w:rFonts w:hint="default" w:ascii="Times New Roman" w:hAnsi="Times New Roman" w:cs="Times New Roman"/>
        </w:rPr>
        <w:t>技术团队，对</w:t>
      </w:r>
      <w:r>
        <w:rPr>
          <w:rFonts w:hint="eastAsia" w:cs="Times New Roman"/>
          <w:lang w:val="en-US" w:eastAsia="zh-CN"/>
        </w:rPr>
        <w:t>潮州市</w:t>
      </w:r>
      <w:r>
        <w:rPr>
          <w:rFonts w:hint="default" w:ascii="Times New Roman" w:hAnsi="Times New Roman" w:cs="Times New Roman"/>
        </w:rPr>
        <w:t>现行</w:t>
      </w:r>
      <w:r>
        <w:rPr>
          <w:rFonts w:hint="eastAsia" w:cs="Times New Roman"/>
          <w:lang w:val="en-US" w:eastAsia="zh-CN"/>
        </w:rPr>
        <w:t>声环境功能</w:t>
      </w:r>
      <w:r>
        <w:rPr>
          <w:rFonts w:hint="default" w:ascii="Times New Roman" w:hAnsi="Times New Roman" w:cs="Times New Roman"/>
        </w:rPr>
        <w:t>区划进行深度</w:t>
      </w:r>
      <w:r>
        <w:rPr>
          <w:rFonts w:hint="eastAsia" w:cs="Times New Roman"/>
          <w:lang w:val="en-US" w:eastAsia="zh-CN"/>
        </w:rPr>
        <w:t>梳理</w:t>
      </w:r>
      <w:r>
        <w:rPr>
          <w:rFonts w:hint="default" w:ascii="Times New Roman" w:hAnsi="Times New Roman" w:cs="Times New Roman"/>
        </w:rPr>
        <w:t>评估，</w:t>
      </w:r>
      <w:r>
        <w:rPr>
          <w:rFonts w:hint="eastAsia" w:cs="Times New Roman"/>
          <w:lang w:val="en-US" w:eastAsia="zh-CN"/>
        </w:rPr>
        <w:t>积极</w:t>
      </w:r>
      <w:r>
        <w:rPr>
          <w:rFonts w:hint="default" w:ascii="Times New Roman" w:hAnsi="Times New Roman" w:cs="Times New Roman"/>
        </w:rPr>
        <w:t>与</w:t>
      </w:r>
      <w:r>
        <w:rPr>
          <w:rFonts w:hint="eastAsia" w:cs="Times New Roman"/>
          <w:lang w:val="en-US" w:eastAsia="zh-CN"/>
        </w:rPr>
        <w:t>市工业和信息化局、</w:t>
      </w:r>
      <w:r>
        <w:rPr>
          <w:rFonts w:hint="default" w:ascii="Times New Roman" w:hAnsi="Times New Roman" w:cs="Times New Roman"/>
        </w:rPr>
        <w:t>交通</w:t>
      </w:r>
      <w:r>
        <w:rPr>
          <w:rFonts w:hint="eastAsia" w:cs="Times New Roman"/>
          <w:lang w:val="en-US" w:eastAsia="zh-CN"/>
        </w:rPr>
        <w:t>运输局、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自然资源</w:t>
      </w:r>
      <w:r>
        <w:rPr>
          <w:rFonts w:hint="eastAsia" w:cs="Times New Roman"/>
          <w:sz w:val="32"/>
          <w:szCs w:val="32"/>
          <w:lang w:val="en-US" w:eastAsia="zh-CN"/>
        </w:rPr>
        <w:t>局</w:t>
      </w:r>
      <w:r>
        <w:rPr>
          <w:rFonts w:hint="eastAsia" w:cs="Times New Roman"/>
          <w:lang w:val="en-US" w:eastAsia="zh-CN"/>
        </w:rPr>
        <w:t>、林业局、</w:t>
      </w:r>
      <w:r>
        <w:rPr>
          <w:rFonts w:hint="default" w:ascii="Times New Roman" w:hAnsi="Times New Roman" w:cs="Times New Roman"/>
        </w:rPr>
        <w:t>城市管理和综合执法</w:t>
      </w:r>
      <w:r>
        <w:rPr>
          <w:rFonts w:hint="eastAsia" w:cs="Times New Roman"/>
          <w:lang w:val="en-US" w:eastAsia="zh-CN"/>
        </w:rPr>
        <w:t>局</w:t>
      </w:r>
      <w:r>
        <w:rPr>
          <w:rFonts w:hint="eastAsia" w:cs="Times New Roman"/>
          <w:lang w:eastAsia="zh-CN"/>
        </w:rPr>
        <w:t>、</w:t>
      </w:r>
      <w:r>
        <w:rPr>
          <w:rFonts w:hint="eastAsia" w:cs="Times New Roman"/>
          <w:lang w:val="en-US" w:eastAsia="zh-CN"/>
        </w:rPr>
        <w:t>民政局、粤东航道事务中心</w:t>
      </w:r>
      <w:r>
        <w:rPr>
          <w:rFonts w:hint="default" w:ascii="Times New Roman" w:hAnsi="Times New Roman" w:cs="Times New Roman"/>
        </w:rPr>
        <w:t>等有关部门对接，充分收集各方区划调整基础资料、</w:t>
      </w:r>
      <w:r>
        <w:rPr>
          <w:rFonts w:hint="eastAsia" w:cs="Times New Roman"/>
          <w:lang w:val="en-US" w:eastAsia="zh-CN"/>
        </w:rPr>
        <w:t>相关规划以及调整需求</w:t>
      </w:r>
      <w:r>
        <w:rPr>
          <w:rFonts w:hint="default" w:ascii="Times New Roman" w:hAnsi="Times New Roman" w:cs="Times New Roman"/>
          <w:szCs w:val="28"/>
        </w:rPr>
        <w:t>。</w:t>
      </w:r>
      <w:r>
        <w:rPr>
          <w:rFonts w:hint="default" w:ascii="Times New Roman" w:hAnsi="Times New Roman" w:cs="Times New Roman"/>
        </w:rPr>
        <w:t>根据国家、省和市相关要求以及前期情况梳理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  <w:szCs w:val="28"/>
        </w:rPr>
        <w:t>按照“对标对表、科学划分、数据精准”的原则，</w:t>
      </w:r>
      <w:r>
        <w:rPr>
          <w:rFonts w:hint="eastAsia" w:cs="Times New Roman"/>
          <w:szCs w:val="28"/>
          <w:lang w:val="en-US" w:eastAsia="zh-CN"/>
        </w:rPr>
        <w:t>编制形成</w:t>
      </w:r>
      <w:r>
        <w:rPr>
          <w:rFonts w:hint="default" w:ascii="Times New Roman" w:hAnsi="Times New Roman" w:cs="Times New Roman"/>
        </w:rPr>
        <w:t>《潮州市声环境功能区划分调整（2024年修订版）》（征求意见稿）。</w:t>
      </w:r>
    </w:p>
    <w:p w14:paraId="62CE8BB2">
      <w:pPr>
        <w:spacing w:line="590" w:lineRule="exact"/>
        <w:ind w:firstLine="632" w:firstLineChars="200"/>
        <w:outlineLvl w:val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四、区划调整技术方法与结果</w:t>
      </w:r>
    </w:p>
    <w:p w14:paraId="60D97300">
      <w:pPr>
        <w:numPr>
          <w:ilvl w:val="0"/>
          <w:numId w:val="5"/>
        </w:numPr>
        <w:spacing w:line="590" w:lineRule="exact"/>
        <w:ind w:left="0" w:firstLine="632" w:firstLineChars="200"/>
        <w:outlineLvl w:val="1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</w:rPr>
        <w:t>声环境功能区分类</w:t>
      </w:r>
    </w:p>
    <w:p w14:paraId="5C5793A7">
      <w:pPr>
        <w:pStyle w:val="48"/>
        <w:spacing w:line="590" w:lineRule="exact"/>
        <w:ind w:firstLine="632"/>
        <w:rPr>
          <w:rFonts w:hint="default" w:ascii="Times New Roman" w:hAnsi="Times New Roman" w:cs="Times New Roman"/>
        </w:rPr>
      </w:pPr>
      <w:bookmarkStart w:id="12" w:name="_Toc1642"/>
      <w:r>
        <w:rPr>
          <w:rFonts w:hint="default" w:ascii="Times New Roman" w:hAnsi="Times New Roman" w:cs="Times New Roman"/>
        </w:rPr>
        <w:t>声环境功能区分为五种类型：</w:t>
      </w:r>
    </w:p>
    <w:p w14:paraId="5F9B70A0">
      <w:pPr>
        <w:pStyle w:val="48"/>
        <w:spacing w:line="590" w:lineRule="exact"/>
        <w:ind w:firstLine="63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0</w:t>
      </w:r>
      <w:bookmarkEnd w:id="12"/>
      <w:r>
        <w:rPr>
          <w:rFonts w:hint="default" w:ascii="Times New Roman" w:hAnsi="Times New Roman" w:cs="Times New Roman"/>
        </w:rPr>
        <w:t>类声环境功能区：康复疗养区等特别需要安静的区域。</w:t>
      </w:r>
    </w:p>
    <w:p w14:paraId="5289C7FD">
      <w:pPr>
        <w:pStyle w:val="48"/>
        <w:spacing w:line="590" w:lineRule="exact"/>
        <w:ind w:firstLine="632"/>
        <w:rPr>
          <w:rFonts w:hint="default" w:ascii="Times New Roman" w:hAnsi="Times New Roman" w:cs="Times New Roman"/>
        </w:rPr>
      </w:pPr>
      <w:bookmarkStart w:id="13" w:name="_Toc3717"/>
      <w:bookmarkStart w:id="14" w:name="_Toc25213"/>
      <w:bookmarkStart w:id="15" w:name="_Toc519867919"/>
      <w:bookmarkStart w:id="16" w:name="_Toc514657705"/>
      <w:r>
        <w:rPr>
          <w:rFonts w:hint="default" w:ascii="Times New Roman" w:hAnsi="Times New Roman" w:cs="Times New Roman"/>
        </w:rPr>
        <w:t>1类声环境功能区</w:t>
      </w:r>
      <w:bookmarkEnd w:id="13"/>
      <w:bookmarkEnd w:id="14"/>
      <w:bookmarkEnd w:id="15"/>
      <w:bookmarkEnd w:id="16"/>
      <w:r>
        <w:rPr>
          <w:rFonts w:hint="default" w:ascii="Times New Roman" w:hAnsi="Times New Roman" w:cs="Times New Roman"/>
        </w:rPr>
        <w:t>：以居民住宅、医疗卫生、文化、教育、科研设计、行政办公为主要功能，需要保持安静的区域。</w:t>
      </w:r>
    </w:p>
    <w:p w14:paraId="4CB40F7A">
      <w:pPr>
        <w:pStyle w:val="48"/>
        <w:spacing w:line="590" w:lineRule="exact"/>
        <w:ind w:firstLine="63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2类声环境功能区：城镇区域中以商业金融、集市贸易为主要功能，或者居住、商业、工业混杂，需要维护住宅安静的区域。</w:t>
      </w:r>
    </w:p>
    <w:p w14:paraId="7B2EB985">
      <w:pPr>
        <w:spacing w:line="590" w:lineRule="exact"/>
        <w:ind w:firstLine="632" w:firstLineChars="200"/>
        <w:rPr>
          <w:rFonts w:hint="default" w:ascii="Times New Roman" w:hAnsi="Times New Roman" w:cs="Times New Roman"/>
        </w:rPr>
      </w:pPr>
      <w:bookmarkStart w:id="17" w:name="_Toc6576"/>
      <w:bookmarkStart w:id="18" w:name="_Toc514657707"/>
      <w:bookmarkStart w:id="19" w:name="_Toc30597"/>
      <w:bookmarkStart w:id="20" w:name="_Toc519867921"/>
      <w:r>
        <w:rPr>
          <w:rFonts w:hint="default" w:ascii="Times New Roman" w:hAnsi="Times New Roman" w:cs="Times New Roman"/>
        </w:rPr>
        <w:t>3类声环境功能区</w:t>
      </w:r>
      <w:bookmarkEnd w:id="17"/>
      <w:bookmarkEnd w:id="18"/>
      <w:bookmarkEnd w:id="19"/>
      <w:bookmarkEnd w:id="20"/>
      <w:r>
        <w:rPr>
          <w:rFonts w:hint="default" w:ascii="Times New Roman" w:hAnsi="Times New Roman" w:cs="Times New Roman"/>
        </w:rPr>
        <w:t>：城镇区域中以工业生产、仓储物流为主要功能，需要防止工业噪声对周围环境产生严重影响的区域。</w:t>
      </w:r>
    </w:p>
    <w:p w14:paraId="18EE4CD0">
      <w:pPr>
        <w:pStyle w:val="48"/>
        <w:spacing w:line="590" w:lineRule="exact"/>
        <w:ind w:firstLine="63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类声环境功能区：交通干线两侧一定距离之内，需要防止交通噪声对周围环境产生严重影响的区域，包括4a类和4b类两种类型。4a类为高速公路、一级公路、二级公路、城市快速路、城市主干路、城市次干路、城市轨道交通（地面段）、内河航道两侧区域；4b类为铁路干线两侧区域；城市轨道交通（地面段）场站，以及客运站场、公交枢纽、港口站场、高速公路服务区等具有一定规模的交通服务区域用地范围内划分为4a类区；铁路干线的客运站场、机务段、车辆段和动车所等具有一定规模的交通服务区域用地范围内划分为4b类区。</w:t>
      </w:r>
    </w:p>
    <w:p w14:paraId="0047D3F2">
      <w:pPr>
        <w:numPr>
          <w:ilvl w:val="0"/>
          <w:numId w:val="5"/>
        </w:numPr>
        <w:spacing w:line="590" w:lineRule="exact"/>
        <w:ind w:left="0" w:firstLine="632" w:firstLineChars="200"/>
        <w:outlineLvl w:val="1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</w:rPr>
        <w:t>区划范围</w:t>
      </w:r>
    </w:p>
    <w:p w14:paraId="7442E3FD">
      <w:pPr>
        <w:spacing w:line="59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根据《潮州市国土空间总体规划》《潮安区国土空间总体规划》《饶平县国土空间总体规划》关于中心城区的范围，本次声环境功能区区划调整范围覆盖包括湘桥区中心城区、潮安区中心城区及枫溪镇</w:t>
      </w:r>
      <w:r>
        <w:rPr>
          <w:rFonts w:hint="eastAsia" w:cs="Times New Roman"/>
          <w:lang w:eastAsia="zh-CN"/>
        </w:rPr>
        <w:t>（因枫溪镇在2023年“撤区复镇”，其长期属于潮州市经济发展及人口的集聚区之一，有必要加强该区域声环境管理）</w:t>
      </w:r>
      <w:r>
        <w:rPr>
          <w:rFonts w:hint="default" w:ascii="Times New Roman" w:hAnsi="Times New Roman" w:cs="Times New Roman"/>
        </w:rPr>
        <w:t>、饶平县中心城区，合计国土面积574.11平方公里。因此</w:t>
      </w:r>
      <w:r>
        <w:rPr>
          <w:rFonts w:hint="eastAsia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本次区划</w:t>
      </w:r>
      <w:r>
        <w:rPr>
          <w:rFonts w:hint="eastAsia" w:cs="Times New Roman"/>
          <w:lang w:val="en-US" w:eastAsia="zh-CN"/>
        </w:rPr>
        <w:t>调整为上述范围</w:t>
      </w:r>
      <w:r>
        <w:rPr>
          <w:rFonts w:hint="default" w:ascii="Times New Roman" w:hAnsi="Times New Roman" w:cs="Times New Roman"/>
        </w:rPr>
        <w:t>。</w:t>
      </w:r>
    </w:p>
    <w:p w14:paraId="5E1108DE">
      <w:pPr>
        <w:numPr>
          <w:ilvl w:val="0"/>
          <w:numId w:val="5"/>
        </w:numPr>
        <w:spacing w:line="590" w:lineRule="exact"/>
        <w:ind w:left="0" w:firstLine="632" w:firstLineChars="200"/>
        <w:outlineLvl w:val="1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</w:rPr>
        <w:t>区划方法</w:t>
      </w:r>
    </w:p>
    <w:p w14:paraId="2701DFB1">
      <w:pPr>
        <w:spacing w:line="59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根据技术规范要求，通过定性判别、定量评估相结合的方法开展区划调整工作。根据识别用地性质的结果和各部门最新规划成果，首先对0、1、3类声环境功能区确认调整及</w:t>
      </w:r>
      <w:r>
        <w:rPr>
          <w:rFonts w:hint="eastAsia" w:cs="Times New Roman"/>
          <w:lang w:val="en-US" w:eastAsia="zh-CN"/>
        </w:rPr>
        <w:t>划定</w:t>
      </w:r>
      <w:r>
        <w:rPr>
          <w:rFonts w:hint="default" w:ascii="Times New Roman" w:hAnsi="Times New Roman" w:cs="Times New Roman"/>
        </w:rPr>
        <w:t>区域，余下区域划分为2类声环境功能区，在此基础上划分4类声环境功能区，形成区划调整方案。国家规范中定性及定量评估方法如下：</w:t>
      </w:r>
    </w:p>
    <w:p w14:paraId="70FEDCCE">
      <w:pPr>
        <w:spacing w:line="590" w:lineRule="exact"/>
        <w:ind w:left="634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（1）0类声环境功能区划分</w:t>
      </w:r>
    </w:p>
    <w:p w14:paraId="26AE143B">
      <w:pPr>
        <w:spacing w:line="59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适用于康复疗养区等特别需要安静的区域。该区域内及附近区域应无明显噪声源，区域界限明确。</w:t>
      </w:r>
    </w:p>
    <w:p w14:paraId="02B5DF2A">
      <w:pPr>
        <w:spacing w:line="590" w:lineRule="exact"/>
        <w:ind w:left="634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（2）1类声环境功能区划分</w:t>
      </w:r>
    </w:p>
    <w:p w14:paraId="3E10204C">
      <w:pPr>
        <w:spacing w:line="59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符合下列条件之一的划为1类声环境功能区：①城市用地现状已形成一定规模或近期规划已明确主要功能的区域，其用地性质符合规范要求的区域；②I类用地占地率大于70%(含70%)的混合用地区域（注：Ⅰ类用地指《城市用地分类与规划建设用地标准》中以下规划用地类别：居住用地、公园绿地、行政办公用地、文化设施用地、教育科研用地、医疗卫生用地、社会福利设施用地）。</w:t>
      </w:r>
    </w:p>
    <w:p w14:paraId="0ECD87EE">
      <w:pPr>
        <w:spacing w:line="590" w:lineRule="exact"/>
        <w:ind w:left="634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（3）2类声环境功能区划分</w:t>
      </w:r>
    </w:p>
    <w:p w14:paraId="0F7FA73B">
      <w:pPr>
        <w:spacing w:line="59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符合下列条件之一的划为2类声环境功能区：①城市用地现状已形成一定规模或近期规划已明确主要功能的区域，其用地性质符合规范要求的区域；②划定的0、1、3类声环境功能区以外居住、商业、工业混杂区域。</w:t>
      </w:r>
    </w:p>
    <w:p w14:paraId="73D5F9AA">
      <w:pPr>
        <w:spacing w:line="590" w:lineRule="exact"/>
        <w:ind w:left="634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（4）3类声环境功能区划分</w:t>
      </w:r>
    </w:p>
    <w:p w14:paraId="1AF15ADD">
      <w:pPr>
        <w:spacing w:line="59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符合下列条件之一的划为3类声环境功能区：①城市用地现状已形成一定规模或近期规划已明确主要功能的区域，其用地性质符合规范要求的区域；②I类用地占地率大于70%(含70%)的混合用地区域（注：Ⅱ类用地指《城市用地分类与规划建设用地标准》中以下规划用地类别：工业用地和物流仓储用地）。</w:t>
      </w:r>
    </w:p>
    <w:p w14:paraId="1F253C9F">
      <w:pPr>
        <w:spacing w:line="590" w:lineRule="exact"/>
        <w:ind w:left="634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（5）4类声环境功能区划分</w:t>
      </w:r>
    </w:p>
    <w:p w14:paraId="25701C4B">
      <w:pPr>
        <w:spacing w:line="59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将交通干线边界线外一定距离内的区域划分为4类声环境功能区，配套的一定规模的公交枢纽、港口站场、高速公路服务区等场站对应也划分为4类声环境功能区。</w:t>
      </w:r>
    </w:p>
    <w:p w14:paraId="0B8F6B3D">
      <w:pPr>
        <w:numPr>
          <w:ilvl w:val="0"/>
          <w:numId w:val="5"/>
        </w:numPr>
        <w:spacing w:line="590" w:lineRule="exact"/>
        <w:ind w:left="0" w:firstLine="632" w:firstLineChars="200"/>
        <w:outlineLvl w:val="1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</w:rPr>
        <w:t>区划（</w:t>
      </w:r>
      <w:r>
        <w:rPr>
          <w:rFonts w:hint="eastAsia" w:eastAsia="楷体_GB2312" w:cs="Times New Roman"/>
          <w:lang w:eastAsia="zh-CN"/>
        </w:rPr>
        <w:t>修订</w:t>
      </w:r>
      <w:r>
        <w:rPr>
          <w:rFonts w:hint="default" w:ascii="Times New Roman" w:hAnsi="Times New Roman" w:eastAsia="楷体_GB2312" w:cs="Times New Roman"/>
        </w:rPr>
        <w:t>）结果</w:t>
      </w:r>
    </w:p>
    <w:p w14:paraId="1449444E">
      <w:pPr>
        <w:spacing w:line="59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>声功能区划</w:t>
      </w:r>
      <w:r>
        <w:rPr>
          <w:rFonts w:hint="default" w:ascii="Times New Roman" w:hAnsi="Times New Roman" w:cs="Times New Roman"/>
        </w:rPr>
        <w:t>调整后，</w:t>
      </w:r>
      <w:r>
        <w:rPr>
          <w:rFonts w:hint="eastAsia" w:cs="Times New Roman"/>
          <w:lang w:val="en-US" w:eastAsia="zh-CN"/>
        </w:rPr>
        <w:t>潮州市无划分0类声环境功能区，</w:t>
      </w:r>
      <w:r>
        <w:rPr>
          <w:rStyle w:val="47"/>
          <w:rFonts w:hint="default" w:ascii="Times New Roman" w:hAnsi="Times New Roman" w:cs="Times New Roman"/>
        </w:rPr>
        <w:t>1、2、3类声环境功能区总面积499.48km</w:t>
      </w:r>
      <w:r>
        <w:rPr>
          <w:rStyle w:val="47"/>
          <w:rFonts w:hint="default" w:ascii="Times New Roman" w:hAnsi="Times New Roman" w:cs="Times New Roman"/>
          <w:vertAlign w:val="superscript"/>
        </w:rPr>
        <w:t>2</w:t>
      </w:r>
      <w:r>
        <w:rPr>
          <w:rStyle w:val="47"/>
          <w:rFonts w:hint="default" w:ascii="Times New Roman" w:hAnsi="Times New Roman" w:cs="Times New Roman"/>
        </w:rPr>
        <w:t>，其中1类声环境功能区面积</w:t>
      </w:r>
      <w:r>
        <w:rPr>
          <w:rStyle w:val="47"/>
          <w:rFonts w:hint="default" w:ascii="Times New Roman" w:hAnsi="Times New Roman" w:cs="Times New Roman"/>
          <w:lang w:val="en-US" w:eastAsia="zh-CN"/>
        </w:rPr>
        <w:t>120.18</w:t>
      </w:r>
      <w:r>
        <w:rPr>
          <w:rStyle w:val="47"/>
          <w:rFonts w:hint="default" w:ascii="Times New Roman" w:hAnsi="Times New Roman" w:cs="Times New Roman"/>
        </w:rPr>
        <w:t>km</w:t>
      </w:r>
      <w:r>
        <w:rPr>
          <w:rStyle w:val="47"/>
          <w:rFonts w:hint="default" w:ascii="Times New Roman" w:hAnsi="Times New Roman" w:cs="Times New Roman"/>
          <w:vertAlign w:val="superscript"/>
        </w:rPr>
        <w:t>2</w:t>
      </w:r>
      <w:r>
        <w:rPr>
          <w:rStyle w:val="47"/>
          <w:rFonts w:hint="default" w:ascii="Times New Roman" w:hAnsi="Times New Roman" w:cs="Times New Roman"/>
        </w:rPr>
        <w:t>，占</w:t>
      </w:r>
      <w:r>
        <w:rPr>
          <w:rStyle w:val="47"/>
          <w:rFonts w:hint="default" w:ascii="Times New Roman" w:hAnsi="Times New Roman" w:cs="Times New Roman"/>
          <w:lang w:val="en-US" w:eastAsia="zh-CN"/>
        </w:rPr>
        <w:t>24.06</w:t>
      </w:r>
      <w:r>
        <w:rPr>
          <w:rStyle w:val="47"/>
          <w:rFonts w:hint="default" w:ascii="Times New Roman" w:hAnsi="Times New Roman" w:cs="Times New Roman"/>
        </w:rPr>
        <w:t>%；2类声环境功能区面积342.02km</w:t>
      </w:r>
      <w:r>
        <w:rPr>
          <w:rStyle w:val="47"/>
          <w:rFonts w:hint="default" w:ascii="Times New Roman" w:hAnsi="Times New Roman" w:cs="Times New Roman"/>
          <w:vertAlign w:val="superscript"/>
        </w:rPr>
        <w:t>2</w:t>
      </w:r>
      <w:r>
        <w:rPr>
          <w:rStyle w:val="47"/>
          <w:rFonts w:hint="default" w:ascii="Times New Roman" w:hAnsi="Times New Roman" w:cs="Times New Roman"/>
        </w:rPr>
        <w:t>，占</w:t>
      </w:r>
      <w:r>
        <w:rPr>
          <w:rStyle w:val="47"/>
          <w:rFonts w:hint="eastAsia" w:ascii="Times New Roman" w:hAnsi="Times New Roman" w:cs="Times New Roman"/>
          <w:lang w:val="en-US" w:eastAsia="zh-CN"/>
        </w:rPr>
        <w:t>68.48</w:t>
      </w:r>
      <w:r>
        <w:rPr>
          <w:rStyle w:val="47"/>
          <w:rFonts w:hint="default" w:ascii="Times New Roman" w:hAnsi="Times New Roman" w:cs="Times New Roman"/>
        </w:rPr>
        <w:t>%；3类声环境功能区面积</w:t>
      </w:r>
      <w:r>
        <w:rPr>
          <w:rStyle w:val="47"/>
          <w:rFonts w:hint="eastAsia" w:ascii="Times New Roman" w:hAnsi="Times New Roman" w:cs="Times New Roman"/>
          <w:lang w:val="en-US" w:eastAsia="zh-CN"/>
        </w:rPr>
        <w:t>7.46</w:t>
      </w:r>
      <w:r>
        <w:rPr>
          <w:rStyle w:val="47"/>
          <w:rFonts w:hint="default" w:ascii="Times New Roman" w:hAnsi="Times New Roman" w:cs="Times New Roman"/>
        </w:rPr>
        <w:t>km</w:t>
      </w:r>
      <w:r>
        <w:rPr>
          <w:rStyle w:val="47"/>
          <w:rFonts w:hint="default" w:ascii="Times New Roman" w:hAnsi="Times New Roman" w:cs="Times New Roman"/>
          <w:vertAlign w:val="superscript"/>
        </w:rPr>
        <w:t>2</w:t>
      </w:r>
      <w:r>
        <w:rPr>
          <w:rStyle w:val="47"/>
          <w:rFonts w:hint="default" w:ascii="Times New Roman" w:hAnsi="Times New Roman" w:cs="Times New Roman"/>
        </w:rPr>
        <w:t>，占7.</w:t>
      </w:r>
      <w:r>
        <w:rPr>
          <w:rStyle w:val="47"/>
          <w:rFonts w:hint="default" w:ascii="Times New Roman" w:hAnsi="Times New Roman" w:cs="Times New Roman"/>
          <w:lang w:val="en-US" w:eastAsia="zh-CN"/>
        </w:rPr>
        <w:t>4</w:t>
      </w:r>
      <w:r>
        <w:rPr>
          <w:rStyle w:val="47"/>
          <w:rFonts w:hint="default" w:ascii="Times New Roman" w:hAnsi="Times New Roman" w:cs="Times New Roman"/>
        </w:rPr>
        <w:t>%</w:t>
      </w:r>
      <w:r>
        <w:rPr>
          <w:rStyle w:val="47"/>
          <w:rFonts w:hint="eastAsia" w:ascii="Times New Roman" w:hAnsi="Times New Roman" w:cs="Times New Roman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4类声环境功能区约</w:t>
      </w:r>
      <w:r>
        <w:rPr>
          <w:rFonts w:hint="eastAsia" w:cs="Times New Roman"/>
          <w:sz w:val="30"/>
          <w:szCs w:val="30"/>
          <w:highlight w:val="none"/>
          <w:lang w:val="en-US" w:eastAsia="zh-CN"/>
        </w:rPr>
        <w:t>97.56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km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vertAlign w:val="superscript"/>
        </w:rPr>
        <w:t>2</w:t>
      </w:r>
      <w:r>
        <w:rPr>
          <w:rFonts w:hint="eastAsia" w:cs="Times New Roman"/>
          <w:sz w:val="30"/>
          <w:szCs w:val="30"/>
          <w:lang w:val="en-US" w:eastAsia="zh-CN"/>
        </w:rPr>
        <w:t>,其中4a类区为91.27km</w:t>
      </w:r>
      <w:r>
        <w:rPr>
          <w:rFonts w:hint="eastAsia" w:cs="Times New Roman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cs="Times New Roman"/>
          <w:sz w:val="30"/>
          <w:szCs w:val="30"/>
          <w:lang w:val="en-US" w:eastAsia="zh-CN"/>
        </w:rPr>
        <w:t>，4b类区为6.29km</w:t>
      </w:r>
      <w:r>
        <w:rPr>
          <w:rFonts w:hint="eastAsia" w:cs="Times New Roman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cs="Times New Roman"/>
          <w:sz w:val="30"/>
          <w:szCs w:val="30"/>
          <w:lang w:val="en-US" w:eastAsia="zh-CN"/>
        </w:rPr>
        <w:t>。</w:t>
      </w:r>
      <w:r>
        <w:rPr>
          <w:rStyle w:val="47"/>
          <w:rFonts w:hint="default" w:ascii="Times New Roman" w:hAnsi="Times New Roman" w:cs="Times New Roman"/>
        </w:rPr>
        <w:t>交通干线的道路路面、航道水面等不划分声环境功能区。</w:t>
      </w:r>
    </w:p>
    <w:p w14:paraId="7BD02315">
      <w:pPr>
        <w:pStyle w:val="5"/>
        <w:numPr>
          <w:ilvl w:val="0"/>
          <w:numId w:val="0"/>
        </w:numPr>
        <w:spacing w:line="590" w:lineRule="exact"/>
        <w:ind w:left="6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）1类声环境功能区</w:t>
      </w:r>
    </w:p>
    <w:p w14:paraId="6B57BD06">
      <w:pPr>
        <w:spacing w:line="59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本次声环境功能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类区调整</w:t>
      </w:r>
      <w:r>
        <w:rPr>
          <w:rFonts w:hint="eastAsia" w:cs="Times New Roman"/>
          <w:lang w:val="en-US" w:eastAsia="zh-CN"/>
        </w:rPr>
        <w:t>按照</w:t>
      </w:r>
      <w:r>
        <w:rPr>
          <w:rFonts w:hint="default" w:ascii="Times New Roman" w:hAnsi="Times New Roman" w:cs="Times New Roman"/>
        </w:rPr>
        <w:t>现行1类声环境功能区（中心城区与枫溪镇范围）优化成果与自然保护地边界更新进行叠加分析，合并临近区域，并扣除河流水体、交通路面、产业园区等相关数据，汇总以上更新数据整理情况可得到：更新后潮州市各区</w:t>
      </w: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县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中心城区范围1类声环境功能区共计19个单元，面积为120.18km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，其中湘桥区声环境功能1类区有13个单元，面积为105.42km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；潮安区声环境功能1类区有4个单元，面积为8.08km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，枫溪镇无声环境功能1类区；饶平县声环境功能1类区有2个单元，面积为6.68km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。</w:t>
      </w:r>
    </w:p>
    <w:p w14:paraId="700E4146">
      <w:pPr>
        <w:pStyle w:val="5"/>
        <w:numPr>
          <w:ilvl w:val="0"/>
          <w:numId w:val="0"/>
        </w:numPr>
        <w:spacing w:line="590" w:lineRule="exact"/>
        <w:ind w:left="6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）2类声环境功能区</w:t>
      </w:r>
    </w:p>
    <w:p w14:paraId="071587FB">
      <w:pPr>
        <w:spacing w:line="59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本次声环境功能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类区调整按照划定流程2类声环境功能区为1类区、3类区以外的区域，完成1类区、3类区划分成果后，再核算2类区面积更新调整后潮州市2类区面积减少至342.02km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。其中，湘桥区中心城区声环境功能2类区162.90km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，潮安区中心城区与枫溪镇声环境功能2类区87.10km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（其中</w:t>
      </w:r>
      <w:r>
        <w:rPr>
          <w:rFonts w:hint="eastAsia" w:cs="Times New Roman"/>
          <w:lang w:val="en-US" w:eastAsia="zh-CN"/>
        </w:rPr>
        <w:t>潮安区</w:t>
      </w:r>
      <w:r>
        <w:rPr>
          <w:rFonts w:hint="default" w:ascii="Times New Roman" w:hAnsi="Times New Roman" w:cs="Times New Roman"/>
        </w:rPr>
        <w:t>中心城区为69.36km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，枫溪镇为17.75km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），饶平县中心城区声环境功能2类区92.02km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。</w:t>
      </w:r>
    </w:p>
    <w:p w14:paraId="57631D55">
      <w:pPr>
        <w:pStyle w:val="5"/>
        <w:numPr>
          <w:ilvl w:val="0"/>
          <w:numId w:val="0"/>
        </w:numPr>
        <w:spacing w:line="590" w:lineRule="exact"/>
        <w:ind w:left="6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）3类声环境功能区</w:t>
      </w:r>
    </w:p>
    <w:p w14:paraId="1A56DE30">
      <w:pPr>
        <w:spacing w:line="59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次声环境功能3类区调整将按照工业产业区块划定成果、国土空间规划、矿产资源规划等数据成果进行调整更新，并且衔接生态环境管控分区成果，扣除河流水体、交通路面等数据后，更新后潮州市中心城区的声环境功能3类区共计21个单元，面积共计37.27km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。其中，湘桥区中心城区声环境功能3类区有11个单元，面积共计16.60km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；潮安区中心城区及枫溪区声环境功能3类区有9个单元，面积共计16.64km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；饶平县中心城区声环境功能3类区有1个单元，面积为4.04km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。</w:t>
      </w:r>
    </w:p>
    <w:p w14:paraId="555D0CC4">
      <w:pPr>
        <w:pStyle w:val="5"/>
        <w:numPr>
          <w:ilvl w:val="0"/>
          <w:numId w:val="0"/>
        </w:numPr>
        <w:spacing w:line="590" w:lineRule="exact"/>
        <w:ind w:left="634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（</w:t>
      </w:r>
      <w:r>
        <w:rPr>
          <w:rFonts w:hint="eastAsia" w:cs="Times New Roman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highlight w:val="none"/>
        </w:rPr>
        <w:t>）4类声环境功能区</w:t>
      </w:r>
    </w:p>
    <w:p w14:paraId="6D5B2369">
      <w:pPr>
        <w:spacing w:line="59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4类声环境功能区主要有三方面调整：一是按照现行区划评估有关意见，现行区划将265条“三级、四级公路”、5条“等外公路”和200条“其他路段”两侧区域划为4a类区与国家技术规范不符，本次区划修订“三级、四级公路”“等外公路”不再划为4a类区，“其他路段”按城市主干路、城市次干路划分；二是按照有关部门提供资料补充内河航道两侧区域划为4a类声环境功能区，补充公交枢纽、港口站场、高速公路服务区、铁路货运站场等具有一定规模的交通服务区域划为4类声环境功能区；三是交通干线名录及配套场站按照各有关部门提供资料对应更新。按照以上调整思路，根据市交通运输局、市城市综合管理局、粤东航道事务中心（潮州分局）等部门提供的交通干线名录，现行区划的595条交通干线更新为206条交通干线，配套场站也对应进行了补充更新。区划调整后，4类声环境功能区面积为97.56km</w:t>
      </w:r>
      <w:r>
        <w:rPr>
          <w:rFonts w:hint="default" w:ascii="Times New Roman" w:hAnsi="Times New Roman" w:cs="Times New Roman"/>
          <w:vertAlign w:val="superscript"/>
          <w:lang w:bidi="ar"/>
        </w:rPr>
        <w:t>2</w:t>
      </w:r>
      <w:r>
        <w:rPr>
          <w:rFonts w:hint="default" w:ascii="Times New Roman" w:hAnsi="Times New Roman" w:cs="Times New Roman"/>
          <w:lang w:bidi="ar"/>
        </w:rPr>
        <w:t>，占本次区划面积的17%，相对现行区划减少4类声环境功能区面积31.24km</w:t>
      </w:r>
      <w:r>
        <w:rPr>
          <w:rFonts w:hint="default" w:ascii="Times New Roman" w:hAnsi="Times New Roman" w:cs="Times New Roman"/>
          <w:vertAlign w:val="superscript"/>
          <w:lang w:bidi="ar"/>
        </w:rPr>
        <w:t>2</w:t>
      </w:r>
      <w:r>
        <w:rPr>
          <w:rFonts w:hint="default" w:ascii="Times New Roman" w:hAnsi="Times New Roman" w:cs="Times New Roman"/>
          <w:lang w:bidi="ar"/>
        </w:rPr>
        <w:t>。</w:t>
      </w:r>
    </w:p>
    <w:p w14:paraId="5DB104ED">
      <w:pPr>
        <w:spacing w:line="590" w:lineRule="exact"/>
        <w:ind w:firstLine="632" w:firstLineChars="200"/>
        <w:outlineLvl w:val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五、主要内容</w:t>
      </w:r>
    </w:p>
    <w:p w14:paraId="6ECD6AA0">
      <w:pPr>
        <w:spacing w:line="590" w:lineRule="exact"/>
        <w:ind w:firstLine="632" w:firstLineChars="200"/>
        <w:rPr>
          <w:rFonts w:hint="default" w:ascii="Times New Roman" w:hAnsi="Times New Roman" w:eastAsia="仿宋_GB2312" w:cs="Times New Roman"/>
          <w:szCs w:val="28"/>
        </w:rPr>
      </w:pPr>
      <w:r>
        <w:rPr>
          <w:rFonts w:hint="default" w:ascii="Times New Roman" w:hAnsi="Times New Roman" w:eastAsia="仿宋_GB2312" w:cs="Times New Roman"/>
          <w:szCs w:val="28"/>
        </w:rPr>
        <w:t>根据区划调整情况，</w:t>
      </w:r>
      <w:r>
        <w:rPr>
          <w:rFonts w:hint="default" w:ascii="Times New Roman" w:hAnsi="Times New Roman" w:eastAsia="仿宋_GB2312" w:cs="Times New Roman"/>
          <w:szCs w:val="28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Cs w:val="28"/>
        </w:rPr>
        <w:t>潮州市声环境功能区划分调整（2024年修订版）</w:t>
      </w:r>
      <w:r>
        <w:rPr>
          <w:rFonts w:hint="default" w:ascii="Times New Roman" w:hAnsi="Times New Roman" w:eastAsia="仿宋_GB2312" w:cs="Times New Roman"/>
          <w:szCs w:val="28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>征求意见稿</w:t>
      </w:r>
      <w:r>
        <w:rPr>
          <w:rFonts w:hint="default" w:ascii="Times New Roman" w:hAnsi="Times New Roman" w:eastAsia="仿宋_GB2312" w:cs="Times New Roman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Cs w:val="28"/>
        </w:rPr>
        <w:t>主要包含区划范围、各类声环境功能区说明、划分依据、划分概况、执行标准、</w:t>
      </w: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>实施管理、</w:t>
      </w:r>
      <w:r>
        <w:rPr>
          <w:rFonts w:hint="default" w:ascii="Times New Roman" w:hAnsi="Times New Roman" w:eastAsia="仿宋_GB2312" w:cs="Times New Roman"/>
          <w:szCs w:val="28"/>
        </w:rPr>
        <w:t>区划说明以及</w:t>
      </w: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>相关附件</w:t>
      </w:r>
      <w:r>
        <w:rPr>
          <w:rFonts w:hint="default" w:ascii="Times New Roman" w:hAnsi="Times New Roman" w:eastAsia="仿宋_GB2312" w:cs="Times New Roman"/>
          <w:szCs w:val="28"/>
        </w:rPr>
        <w:t>等</w:t>
      </w: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Cs w:val="28"/>
        </w:rPr>
        <w:t>个部分。</w:t>
      </w:r>
    </w:p>
    <w:p w14:paraId="4CA0C5EC">
      <w:pPr>
        <w:spacing w:line="590" w:lineRule="exact"/>
        <w:ind w:firstLine="632" w:firstLineChars="200"/>
        <w:rPr>
          <w:rFonts w:hint="default" w:ascii="Times New Roman" w:hAnsi="Times New Roman" w:eastAsia="仿宋_GB2312" w:cs="Times New Roman"/>
          <w:szCs w:val="28"/>
        </w:rPr>
      </w:pPr>
      <w:r>
        <w:rPr>
          <w:rFonts w:hint="default" w:ascii="Times New Roman" w:hAnsi="Times New Roman" w:eastAsia="仿宋_GB2312" w:cs="Times New Roman"/>
          <w:szCs w:val="28"/>
        </w:rPr>
        <w:t>第一部分为</w:t>
      </w:r>
      <w:r>
        <w:rPr>
          <w:rFonts w:hint="default" w:ascii="Times New Roman" w:hAnsi="Times New Roman" w:eastAsia="仿宋_GB2312" w:cs="Times New Roman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Cs w:val="28"/>
        </w:rPr>
        <w:t>区划范围</w:t>
      </w:r>
      <w:r>
        <w:rPr>
          <w:rFonts w:hint="default" w:ascii="Times New Roman" w:hAnsi="Times New Roman" w:eastAsia="仿宋_GB2312" w:cs="Times New Roman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Cs w:val="28"/>
        </w:rPr>
        <w:t>，</w:t>
      </w: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szCs w:val="28"/>
        </w:rPr>
        <w:t>本区划范围为潮州市中心城区，包括下辖的湘桥区中心城区、潮安区中心城区以及枫溪镇、饶平县中心城区。</w:t>
      </w:r>
    </w:p>
    <w:p w14:paraId="6386289D">
      <w:pPr>
        <w:spacing w:line="590" w:lineRule="exact"/>
        <w:ind w:firstLine="632" w:firstLineChars="200"/>
        <w:rPr>
          <w:rFonts w:hint="default" w:ascii="Times New Roman" w:hAnsi="Times New Roman" w:eastAsia="仿宋_GB2312" w:cs="Times New Roman"/>
          <w:szCs w:val="28"/>
        </w:rPr>
      </w:pPr>
      <w:r>
        <w:rPr>
          <w:rFonts w:hint="default" w:ascii="Times New Roman" w:hAnsi="Times New Roman" w:eastAsia="仿宋_GB2312" w:cs="Times New Roman"/>
          <w:szCs w:val="28"/>
        </w:rPr>
        <w:t>第二部分为</w:t>
      </w:r>
      <w:r>
        <w:rPr>
          <w:rFonts w:hint="default" w:ascii="Times New Roman" w:hAnsi="Times New Roman" w:eastAsia="仿宋_GB2312" w:cs="Times New Roman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Cs w:val="28"/>
        </w:rPr>
        <w:t>各类声环境功能区说明</w:t>
      </w:r>
      <w:r>
        <w:rPr>
          <w:rFonts w:hint="default" w:ascii="Times New Roman" w:hAnsi="Times New Roman" w:eastAsia="仿宋_GB2312" w:cs="Times New Roman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Cs w:val="28"/>
        </w:rPr>
        <w:t>，</w:t>
      </w:r>
      <w:r>
        <w:rPr>
          <w:rFonts w:hint="default" w:ascii="Times New Roman" w:hAnsi="Times New Roman" w:eastAsia="仿宋_GB2312" w:cs="Times New Roman"/>
        </w:rPr>
        <w:t>对各类声环境功能区的类型进行必要的说明，并根据噪声法及技术规范要求，对交通干线边界、交通干线两侧距离等定义做出修订。</w:t>
      </w:r>
    </w:p>
    <w:p w14:paraId="05295605">
      <w:pPr>
        <w:spacing w:line="590" w:lineRule="exact"/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第三部分为</w:t>
      </w:r>
      <w:r>
        <w:rPr>
          <w:rFonts w:hint="default" w:ascii="Times New Roman" w:hAnsi="Times New Roman" w:eastAsia="仿宋_GB2312" w:cs="Times New Roman"/>
          <w:lang w:eastAsia="zh-CN"/>
        </w:rPr>
        <w:t>“</w:t>
      </w:r>
      <w:r>
        <w:rPr>
          <w:rFonts w:hint="default" w:ascii="Times New Roman" w:hAnsi="Times New Roman" w:eastAsia="仿宋_GB2312" w:cs="Times New Roman"/>
        </w:rPr>
        <w:t>划分依据</w:t>
      </w:r>
      <w:r>
        <w:rPr>
          <w:rFonts w:hint="default" w:ascii="Times New Roman" w:hAnsi="Times New Roman" w:eastAsia="仿宋_GB2312" w:cs="Times New Roman"/>
          <w:lang w:eastAsia="zh-CN"/>
        </w:rPr>
        <w:t>”</w:t>
      </w:r>
      <w:r>
        <w:rPr>
          <w:rFonts w:hint="default" w:ascii="Times New Roman" w:hAnsi="Times New Roman" w:eastAsia="仿宋_GB2312" w:cs="Times New Roman"/>
        </w:rPr>
        <w:t>，列出本次区划调整工作主要依据的法律法规、相关标准及技术规范、政策性</w:t>
      </w:r>
      <w:r>
        <w:rPr>
          <w:rFonts w:hint="default" w:ascii="Times New Roman" w:hAnsi="Times New Roman" w:eastAsia="仿宋_GB2312" w:cs="Times New Roman"/>
          <w:lang w:val="en-US" w:eastAsia="zh-CN"/>
        </w:rPr>
        <w:t>规划</w:t>
      </w:r>
      <w:r>
        <w:rPr>
          <w:rFonts w:hint="default" w:ascii="Times New Roman" w:hAnsi="Times New Roman" w:eastAsia="仿宋_GB2312" w:cs="Times New Roman"/>
        </w:rPr>
        <w:t>参考等。</w:t>
      </w:r>
    </w:p>
    <w:p w14:paraId="5A966B64">
      <w:pPr>
        <w:spacing w:line="590" w:lineRule="exact"/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第四部分为</w:t>
      </w:r>
      <w:r>
        <w:rPr>
          <w:rFonts w:hint="default" w:ascii="Times New Roman" w:hAnsi="Times New Roman" w:eastAsia="仿宋_GB2312" w:cs="Times New Roman"/>
          <w:lang w:eastAsia="zh-CN"/>
        </w:rPr>
        <w:t>“</w:t>
      </w:r>
      <w:r>
        <w:rPr>
          <w:rFonts w:hint="default" w:ascii="Times New Roman" w:hAnsi="Times New Roman" w:eastAsia="仿宋_GB2312" w:cs="Times New Roman"/>
        </w:rPr>
        <w:t>划分概况</w:t>
      </w:r>
      <w:r>
        <w:rPr>
          <w:rFonts w:hint="default" w:ascii="Times New Roman" w:hAnsi="Times New Roman" w:eastAsia="仿宋_GB2312" w:cs="Times New Roman"/>
          <w:lang w:eastAsia="zh-CN"/>
        </w:rPr>
        <w:t>”</w:t>
      </w:r>
      <w:r>
        <w:rPr>
          <w:rFonts w:hint="default" w:ascii="Times New Roman" w:hAnsi="Times New Roman" w:eastAsia="仿宋_GB2312" w:cs="Times New Roman"/>
        </w:rPr>
        <w:t>，</w:t>
      </w:r>
      <w:r>
        <w:rPr>
          <w:rFonts w:hint="default" w:ascii="Times New Roman" w:hAnsi="Times New Roman" w:eastAsia="仿宋_GB2312" w:cs="Times New Roman"/>
          <w:szCs w:val="28"/>
        </w:rPr>
        <w:t>根据区划调整结果，</w:t>
      </w:r>
      <w:r>
        <w:rPr>
          <w:rFonts w:hint="default" w:ascii="Times New Roman" w:hAnsi="Times New Roman" w:eastAsia="仿宋_GB2312" w:cs="Times New Roman"/>
        </w:rPr>
        <w:t>列出全市</w:t>
      </w:r>
      <w:r>
        <w:rPr>
          <w:rFonts w:hint="default" w:ascii="Times New Roman" w:hAnsi="Times New Roman" w:eastAsia="仿宋_GB2312" w:cs="Times New Roman"/>
          <w:lang w:val="en-US" w:eastAsia="zh-CN"/>
        </w:rPr>
        <w:t>中心城区</w:t>
      </w:r>
      <w:r>
        <w:rPr>
          <w:rFonts w:hint="default" w:ascii="Times New Roman" w:hAnsi="Times New Roman" w:eastAsia="仿宋_GB2312" w:cs="Times New Roman"/>
        </w:rPr>
        <w:t>声环境功能区区划的概况。</w:t>
      </w:r>
    </w:p>
    <w:p w14:paraId="5FBBE049">
      <w:pPr>
        <w:spacing w:line="590" w:lineRule="exact"/>
        <w:ind w:firstLine="632" w:firstLineChars="200"/>
        <w:rPr>
          <w:rFonts w:hint="default" w:ascii="Times New Roman" w:hAnsi="Times New Roman" w:eastAsia="仿宋_GB2312" w:cs="Times New Roman"/>
          <w:szCs w:val="28"/>
        </w:rPr>
      </w:pPr>
      <w:r>
        <w:rPr>
          <w:rFonts w:hint="default" w:ascii="Times New Roman" w:hAnsi="Times New Roman" w:eastAsia="仿宋_GB2312" w:cs="Times New Roman"/>
        </w:rPr>
        <w:t>第五部分为</w:t>
      </w:r>
      <w:r>
        <w:rPr>
          <w:rFonts w:hint="default" w:ascii="Times New Roman" w:hAnsi="Times New Roman" w:eastAsia="仿宋_GB2312" w:cs="Times New Roman"/>
          <w:lang w:eastAsia="zh-CN"/>
        </w:rPr>
        <w:t>“</w:t>
      </w:r>
      <w:r>
        <w:rPr>
          <w:rFonts w:hint="default" w:ascii="Times New Roman" w:hAnsi="Times New Roman" w:eastAsia="仿宋_GB2312" w:cs="Times New Roman"/>
        </w:rPr>
        <w:t>执行标准</w:t>
      </w:r>
      <w:r>
        <w:rPr>
          <w:rFonts w:hint="default" w:ascii="Times New Roman" w:hAnsi="Times New Roman" w:eastAsia="仿宋_GB2312" w:cs="Times New Roman"/>
          <w:lang w:eastAsia="zh-CN"/>
        </w:rPr>
        <w:t>”</w:t>
      </w:r>
      <w:r>
        <w:rPr>
          <w:rFonts w:hint="default" w:ascii="Times New Roman" w:hAnsi="Times New Roman" w:eastAsia="仿宋_GB2312" w:cs="Times New Roman"/>
        </w:rPr>
        <w:t>，列出各类声环境功能区执行国家《声环境质量标准》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eastAsia="仿宋_GB2312" w:cs="Times New Roman"/>
        </w:rPr>
        <w:t>GB 3096-2008）中规定的环境噪声等效声级限值。</w:t>
      </w:r>
    </w:p>
    <w:p w14:paraId="65FEA214">
      <w:pPr>
        <w:spacing w:line="590" w:lineRule="exact"/>
        <w:ind w:firstLine="632" w:firstLineChars="200"/>
        <w:rPr>
          <w:rFonts w:hint="default" w:ascii="Times New Roman" w:hAnsi="Times New Roman" w:eastAsia="仿宋_GB2312" w:cs="Times New Roman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28"/>
        </w:rPr>
        <w:t>第六部分</w:t>
      </w: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>为“实施管理”，根据《噪声法》</w:t>
      </w:r>
      <w:r>
        <w:rPr>
          <w:rFonts w:hint="eastAsia" w:ascii="Times New Roman" w:hAnsi="Times New Roman" w:cs="Times New Roman"/>
          <w:szCs w:val="28"/>
          <w:lang w:val="en-US" w:eastAsia="zh-CN"/>
        </w:rPr>
        <w:t>等相关</w:t>
      </w:r>
      <w:r>
        <w:rPr>
          <w:rFonts w:hint="default" w:ascii="Times New Roman" w:hAnsi="Times New Roman" w:eastAsia="仿宋_GB2312" w:cs="Times New Roman"/>
          <w:lang w:val="en-US" w:eastAsia="zh-CN"/>
        </w:rPr>
        <w:t>要求，增加区划管理要求，明确</w:t>
      </w:r>
      <w:r>
        <w:rPr>
          <w:rFonts w:hint="eastAsia" w:ascii="Times New Roman" w:hAnsi="Times New Roman" w:cs="Times New Roman"/>
          <w:lang w:val="en-US" w:eastAsia="zh-CN"/>
        </w:rPr>
        <w:t>各区（县）</w:t>
      </w:r>
      <w:r>
        <w:rPr>
          <w:rFonts w:hint="default" w:ascii="Times New Roman" w:hAnsi="Times New Roman" w:eastAsia="仿宋_GB2312" w:cs="Times New Roman"/>
          <w:lang w:val="en-US" w:eastAsia="zh-CN"/>
        </w:rPr>
        <w:t>政府职责以及区划调整等事项。</w:t>
      </w:r>
    </w:p>
    <w:p w14:paraId="4A0A8F5E">
      <w:pPr>
        <w:spacing w:line="590" w:lineRule="exact"/>
        <w:ind w:firstLine="63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>第七部分</w:t>
      </w:r>
      <w:r>
        <w:rPr>
          <w:rFonts w:hint="default" w:ascii="Times New Roman" w:hAnsi="Times New Roman" w:eastAsia="仿宋_GB2312" w:cs="Times New Roman"/>
          <w:szCs w:val="28"/>
        </w:rPr>
        <w:t>为</w:t>
      </w:r>
      <w:r>
        <w:rPr>
          <w:rFonts w:hint="default" w:ascii="Times New Roman" w:hAnsi="Times New Roman" w:eastAsia="仿宋_GB2312" w:cs="Times New Roman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Cs w:val="28"/>
        </w:rPr>
        <w:t>区划说明</w:t>
      </w:r>
      <w:r>
        <w:rPr>
          <w:rFonts w:hint="default" w:ascii="Times New Roman" w:hAnsi="Times New Roman" w:eastAsia="仿宋_GB2312" w:cs="Times New Roman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Cs w:val="28"/>
        </w:rPr>
        <w:t>，</w:t>
      </w:r>
      <w:r>
        <w:rPr>
          <w:rFonts w:hint="default" w:ascii="Times New Roman" w:hAnsi="Times New Roman" w:eastAsia="仿宋_GB2312" w:cs="Times New Roman"/>
        </w:rPr>
        <w:t>明确区划执行时间</w:t>
      </w:r>
      <w:r>
        <w:rPr>
          <w:rFonts w:hint="eastAsia" w:ascii="Times New Roman" w:hAnsi="Times New Roman" w:cs="Times New Roman"/>
          <w:lang w:val="en-US" w:eastAsia="zh-CN"/>
        </w:rPr>
        <w:t>和原区划废止时间等相关说明</w:t>
      </w:r>
      <w:r>
        <w:rPr>
          <w:rFonts w:hint="default" w:ascii="Times New Roman" w:hAnsi="Times New Roman" w:eastAsia="仿宋_GB2312" w:cs="Times New Roman"/>
        </w:rPr>
        <w:t>。</w:t>
      </w:r>
    </w:p>
    <w:p w14:paraId="7B91126B">
      <w:pPr>
        <w:spacing w:line="590" w:lineRule="exact"/>
        <w:ind w:firstLine="632" w:firstLineChars="200"/>
        <w:rPr>
          <w:rFonts w:hint="eastAsia" w:ascii="仿宋_GB2312" w:hAnsi="仿宋_GB2312" w:eastAsia="仿宋_GB2312" w:cs="仿宋_GB2312"/>
        </w:rPr>
      </w:pPr>
      <w:r>
        <w:rPr>
          <w:rFonts w:hint="default" w:ascii="Times New Roman" w:hAnsi="Times New Roman" w:eastAsia="仿宋_GB2312" w:cs="Times New Roman"/>
          <w:szCs w:val="28"/>
        </w:rPr>
        <w:t>第</w:t>
      </w:r>
      <w:r>
        <w:rPr>
          <w:rFonts w:hint="default" w:ascii="Times New Roman" w:hAnsi="Times New Roman" w:eastAsia="仿宋_GB2312" w:cs="Times New Roman"/>
          <w:szCs w:val="28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Cs w:val="28"/>
        </w:rPr>
        <w:t>部分为附件，包括附表和附图。</w:t>
      </w:r>
      <w:r>
        <w:rPr>
          <w:rFonts w:hint="default" w:ascii="Times New Roman" w:hAnsi="Times New Roman" w:eastAsia="仿宋_GB2312" w:cs="Times New Roman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Cs w:val="28"/>
        </w:rPr>
        <w:t>附表</w:t>
      </w:r>
      <w:r>
        <w:rPr>
          <w:rFonts w:hint="default" w:ascii="Times New Roman" w:hAnsi="Times New Roman" w:eastAsia="仿宋_GB2312" w:cs="Times New Roman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Cs w:val="28"/>
        </w:rPr>
        <w:t>根据区划调整结果，</w:t>
      </w:r>
      <w:r>
        <w:rPr>
          <w:rFonts w:hint="default" w:ascii="Times New Roman" w:hAnsi="Times New Roman" w:eastAsia="仿宋_GB2312" w:cs="Times New Roman"/>
        </w:rPr>
        <w:t>按照</w:t>
      </w:r>
      <w:r>
        <w:rPr>
          <w:rFonts w:hint="default" w:ascii="Times New Roman" w:hAnsi="Times New Roman" w:eastAsia="仿宋_GB2312" w:cs="Times New Roman"/>
          <w:lang w:eastAsia="zh-CN"/>
        </w:rPr>
        <w:t>潮州市</w:t>
      </w:r>
      <w:r>
        <w:rPr>
          <w:rFonts w:hint="default" w:ascii="Times New Roman" w:hAnsi="Times New Roman" w:eastAsia="仿宋_GB2312" w:cs="Times New Roman"/>
        </w:rPr>
        <w:t>各</w:t>
      </w:r>
      <w:r>
        <w:rPr>
          <w:rFonts w:hint="eastAsia" w:ascii="Times New Roman" w:hAnsi="Times New Roman" w:cs="Times New Roman"/>
          <w:lang w:val="en-US" w:eastAsia="zh-CN"/>
        </w:rPr>
        <w:t>区（县）</w:t>
      </w:r>
      <w:r>
        <w:rPr>
          <w:rFonts w:hint="default" w:ascii="Times New Roman" w:hAnsi="Times New Roman" w:eastAsia="仿宋_GB2312" w:cs="Times New Roman"/>
        </w:rPr>
        <w:t>顺序，以列表形式表示划分结果，包括区划单元的名称、位置、所属声环境功能区类别。</w:t>
      </w:r>
      <w:r>
        <w:rPr>
          <w:rFonts w:hint="default" w:ascii="Times New Roman" w:hAnsi="Times New Roman" w:eastAsia="仿宋_GB2312" w:cs="Times New Roman"/>
          <w:lang w:eastAsia="zh-CN"/>
        </w:rPr>
        <w:t>“</w:t>
      </w:r>
      <w:r>
        <w:rPr>
          <w:rFonts w:hint="default" w:ascii="Times New Roman" w:hAnsi="Times New Roman" w:eastAsia="仿宋_GB2312" w:cs="Times New Roman"/>
        </w:rPr>
        <w:t>附图</w:t>
      </w:r>
      <w:r>
        <w:rPr>
          <w:rFonts w:hint="default" w:ascii="Times New Roman" w:hAnsi="Times New Roman" w:eastAsia="仿宋_GB2312" w:cs="Times New Roman"/>
          <w:lang w:eastAsia="zh-CN"/>
        </w:rPr>
        <w:t>”</w:t>
      </w:r>
      <w:r>
        <w:rPr>
          <w:rFonts w:hint="default" w:ascii="Times New Roman" w:hAnsi="Times New Roman" w:eastAsia="仿宋_GB2312" w:cs="Times New Roman"/>
        </w:rPr>
        <w:t>包括</w:t>
      </w:r>
      <w:r>
        <w:rPr>
          <w:rFonts w:hint="eastAsia" w:ascii="Times New Roman" w:hAnsi="Times New Roman" w:cs="Times New Roman"/>
          <w:lang w:val="en-US" w:eastAsia="zh-CN"/>
        </w:rPr>
        <w:t>潮州市中心城区声环境功能</w:t>
      </w:r>
      <w:r>
        <w:rPr>
          <w:rFonts w:hint="default" w:ascii="Times New Roman" w:hAnsi="Times New Roman" w:eastAsia="仿宋_GB2312" w:cs="Times New Roman"/>
        </w:rPr>
        <w:t>区划图及各</w:t>
      </w:r>
      <w:r>
        <w:rPr>
          <w:rFonts w:hint="eastAsia" w:ascii="Times New Roman" w:hAnsi="Times New Roman" w:cs="Times New Roman"/>
          <w:lang w:val="en-US" w:eastAsia="zh-CN"/>
        </w:rPr>
        <w:t>区（县）</w:t>
      </w:r>
      <w:r>
        <w:rPr>
          <w:rFonts w:hint="default" w:ascii="Times New Roman" w:hAnsi="Times New Roman" w:eastAsia="仿宋_GB2312" w:cs="Times New Roman"/>
        </w:rPr>
        <w:t>区划图。</w:t>
      </w:r>
    </w:p>
    <w:p w14:paraId="72B1C76E">
      <w:pPr>
        <w:spacing w:line="590" w:lineRule="exact"/>
        <w:ind w:firstLine="632" w:firstLineChars="200"/>
        <w:rPr>
          <w:rFonts w:hint="default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247" w:bottom="1757" w:left="1587" w:header="1134" w:footer="1502" w:gutter="0"/>
      <w:pgNumType w:fmt="numberInDash" w:start="1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18D9461-D567-4237-9C5B-028619781B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CC2BADA-9E46-4D3D-94FB-DC4E88B87E3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CA93D4B-D996-4FDD-B9B3-2C831AAF4897}"/>
  </w:font>
  <w:font w:name="Menlo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6F43E13-B0E2-4F33-A5BF-EC4EB79F48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C892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9EDC4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89EDC4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7F28A">
    <w:pPr>
      <w:pStyle w:val="9"/>
      <w:pBdr>
        <w:bottom w:val="none" w:color="auto" w:sz="0" w:space="1"/>
      </w:pBdr>
      <w:tabs>
        <w:tab w:val="left" w:pos="1468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6632CB"/>
    <w:multiLevelType w:val="singleLevel"/>
    <w:tmpl w:val="CF6632CB"/>
    <w:lvl w:ilvl="0" w:tentative="0">
      <w:start w:val="1"/>
      <w:numFmt w:val="chineseCounting"/>
      <w:suff w:val="nothing"/>
      <w:lvlText w:val="（%1）"/>
      <w:lvlJc w:val="left"/>
      <w:pPr>
        <w:ind w:left="157" w:firstLine="0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pStyle w:val="5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ideographDigital"/>
      <w:pStyle w:val="4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391FA37"/>
    <w:multiLevelType w:val="singleLevel"/>
    <w:tmpl w:val="7391FA37"/>
    <w:lvl w:ilvl="0" w:tentative="0">
      <w:start w:val="1"/>
      <w:numFmt w:val="chineseCounting"/>
      <w:suff w:val="nothing"/>
      <w:lvlText w:val="（%1）"/>
      <w:lvlJc w:val="left"/>
      <w:pPr>
        <w:ind w:left="157" w:firstLine="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MTQ3OTQ4MzRjN2IyZGJjNzkwNTQyNThiMzM5NzcifQ=="/>
  </w:docVars>
  <w:rsids>
    <w:rsidRoot w:val="00AA585D"/>
    <w:rsid w:val="000A2D29"/>
    <w:rsid w:val="00373597"/>
    <w:rsid w:val="0047053D"/>
    <w:rsid w:val="005029BB"/>
    <w:rsid w:val="0054183A"/>
    <w:rsid w:val="006576F5"/>
    <w:rsid w:val="006A4F7F"/>
    <w:rsid w:val="00734889"/>
    <w:rsid w:val="00791251"/>
    <w:rsid w:val="00937E57"/>
    <w:rsid w:val="009D7308"/>
    <w:rsid w:val="00A30E4E"/>
    <w:rsid w:val="00AA585D"/>
    <w:rsid w:val="00E70C6D"/>
    <w:rsid w:val="00EF7950"/>
    <w:rsid w:val="00FA0F83"/>
    <w:rsid w:val="01344A5C"/>
    <w:rsid w:val="01FE4A55"/>
    <w:rsid w:val="02141E69"/>
    <w:rsid w:val="022A6766"/>
    <w:rsid w:val="02324027"/>
    <w:rsid w:val="02445597"/>
    <w:rsid w:val="02801CEC"/>
    <w:rsid w:val="02AC4631"/>
    <w:rsid w:val="036F2FCB"/>
    <w:rsid w:val="03F61D12"/>
    <w:rsid w:val="041A7CCF"/>
    <w:rsid w:val="04654629"/>
    <w:rsid w:val="04CE5ACF"/>
    <w:rsid w:val="051C683A"/>
    <w:rsid w:val="05263B5D"/>
    <w:rsid w:val="05646273"/>
    <w:rsid w:val="057524DD"/>
    <w:rsid w:val="05E74575"/>
    <w:rsid w:val="061353EC"/>
    <w:rsid w:val="061953D9"/>
    <w:rsid w:val="063B53E6"/>
    <w:rsid w:val="065F5E83"/>
    <w:rsid w:val="06606195"/>
    <w:rsid w:val="06D51014"/>
    <w:rsid w:val="07923FB2"/>
    <w:rsid w:val="0841349F"/>
    <w:rsid w:val="08AD7905"/>
    <w:rsid w:val="08C1560F"/>
    <w:rsid w:val="08D2168A"/>
    <w:rsid w:val="09DE2F41"/>
    <w:rsid w:val="0A372C4F"/>
    <w:rsid w:val="0A6071C9"/>
    <w:rsid w:val="0B5A0EA1"/>
    <w:rsid w:val="0C3E0CE8"/>
    <w:rsid w:val="0C5A00D3"/>
    <w:rsid w:val="0D53532A"/>
    <w:rsid w:val="0DC67E8C"/>
    <w:rsid w:val="0DDC0764"/>
    <w:rsid w:val="0EA90CF9"/>
    <w:rsid w:val="0EF10D38"/>
    <w:rsid w:val="0F25371E"/>
    <w:rsid w:val="0FCB077E"/>
    <w:rsid w:val="0FDD2DE3"/>
    <w:rsid w:val="10156CA8"/>
    <w:rsid w:val="115921AE"/>
    <w:rsid w:val="11C25DBB"/>
    <w:rsid w:val="124E024F"/>
    <w:rsid w:val="12B05320"/>
    <w:rsid w:val="12C0739F"/>
    <w:rsid w:val="12CD2621"/>
    <w:rsid w:val="134564D7"/>
    <w:rsid w:val="13906D71"/>
    <w:rsid w:val="13CF716E"/>
    <w:rsid w:val="13D704FB"/>
    <w:rsid w:val="14BF29AF"/>
    <w:rsid w:val="150A2555"/>
    <w:rsid w:val="150F2975"/>
    <w:rsid w:val="153C0833"/>
    <w:rsid w:val="15744CB0"/>
    <w:rsid w:val="161810CD"/>
    <w:rsid w:val="16351E52"/>
    <w:rsid w:val="16445BF1"/>
    <w:rsid w:val="164F3EAC"/>
    <w:rsid w:val="17A7313C"/>
    <w:rsid w:val="17DB0100"/>
    <w:rsid w:val="18335F1D"/>
    <w:rsid w:val="18FC27B3"/>
    <w:rsid w:val="19665742"/>
    <w:rsid w:val="19F67CCD"/>
    <w:rsid w:val="1A1A1D9C"/>
    <w:rsid w:val="1A4E34E2"/>
    <w:rsid w:val="1ABC48F0"/>
    <w:rsid w:val="1ADF2B68"/>
    <w:rsid w:val="1B3F107D"/>
    <w:rsid w:val="1B5468D6"/>
    <w:rsid w:val="1B6E410D"/>
    <w:rsid w:val="1C7C3711"/>
    <w:rsid w:val="1C9170C4"/>
    <w:rsid w:val="1D3502B9"/>
    <w:rsid w:val="1E067479"/>
    <w:rsid w:val="1E48649A"/>
    <w:rsid w:val="1ED843EF"/>
    <w:rsid w:val="1F3C1B5B"/>
    <w:rsid w:val="1F766A3E"/>
    <w:rsid w:val="1F8B4667"/>
    <w:rsid w:val="1FA33F1C"/>
    <w:rsid w:val="1FA87F4E"/>
    <w:rsid w:val="1FDA4D3F"/>
    <w:rsid w:val="2080016D"/>
    <w:rsid w:val="21530E9F"/>
    <w:rsid w:val="2217065D"/>
    <w:rsid w:val="2251208C"/>
    <w:rsid w:val="229A716A"/>
    <w:rsid w:val="23721DF1"/>
    <w:rsid w:val="24422247"/>
    <w:rsid w:val="24A11016"/>
    <w:rsid w:val="24D665AE"/>
    <w:rsid w:val="258C4F83"/>
    <w:rsid w:val="25F31CBD"/>
    <w:rsid w:val="260E1D77"/>
    <w:rsid w:val="263E08AF"/>
    <w:rsid w:val="26ED4554"/>
    <w:rsid w:val="26F947D6"/>
    <w:rsid w:val="273121C1"/>
    <w:rsid w:val="28307B03"/>
    <w:rsid w:val="289E5635"/>
    <w:rsid w:val="28D60C6E"/>
    <w:rsid w:val="292A511A"/>
    <w:rsid w:val="29515E25"/>
    <w:rsid w:val="297C3DE6"/>
    <w:rsid w:val="2A34764F"/>
    <w:rsid w:val="2BEF7F55"/>
    <w:rsid w:val="2C792640"/>
    <w:rsid w:val="2DD834D8"/>
    <w:rsid w:val="2E24482E"/>
    <w:rsid w:val="2E4B1DBB"/>
    <w:rsid w:val="2ED257F2"/>
    <w:rsid w:val="2EF53AD4"/>
    <w:rsid w:val="2F3B087C"/>
    <w:rsid w:val="31963D9D"/>
    <w:rsid w:val="319A0963"/>
    <w:rsid w:val="32195D2C"/>
    <w:rsid w:val="321E7883"/>
    <w:rsid w:val="32736AD1"/>
    <w:rsid w:val="32BD0DB1"/>
    <w:rsid w:val="336D632F"/>
    <w:rsid w:val="33BF2903"/>
    <w:rsid w:val="33C57F19"/>
    <w:rsid w:val="33D9151E"/>
    <w:rsid w:val="342C7C2D"/>
    <w:rsid w:val="342E1C9D"/>
    <w:rsid w:val="34621C0C"/>
    <w:rsid w:val="34716896"/>
    <w:rsid w:val="348A43E7"/>
    <w:rsid w:val="34E2463A"/>
    <w:rsid w:val="35353B4D"/>
    <w:rsid w:val="35411630"/>
    <w:rsid w:val="35784CBC"/>
    <w:rsid w:val="359809D4"/>
    <w:rsid w:val="35E52AF5"/>
    <w:rsid w:val="36625EF3"/>
    <w:rsid w:val="36E95DB3"/>
    <w:rsid w:val="371D1E1A"/>
    <w:rsid w:val="381C20D2"/>
    <w:rsid w:val="38B421ED"/>
    <w:rsid w:val="38CB671A"/>
    <w:rsid w:val="396F75FA"/>
    <w:rsid w:val="3A4C09E6"/>
    <w:rsid w:val="3A695377"/>
    <w:rsid w:val="3A9F75B9"/>
    <w:rsid w:val="3AA57044"/>
    <w:rsid w:val="3ACC7DDF"/>
    <w:rsid w:val="3B201ED9"/>
    <w:rsid w:val="3BD43AEB"/>
    <w:rsid w:val="3D6B1F84"/>
    <w:rsid w:val="3E1877DF"/>
    <w:rsid w:val="3E2C176D"/>
    <w:rsid w:val="3EDD4F03"/>
    <w:rsid w:val="3F7A684B"/>
    <w:rsid w:val="40617BBC"/>
    <w:rsid w:val="41063EFD"/>
    <w:rsid w:val="413B79EE"/>
    <w:rsid w:val="41401527"/>
    <w:rsid w:val="416D399E"/>
    <w:rsid w:val="418F7DB9"/>
    <w:rsid w:val="4235234D"/>
    <w:rsid w:val="427D32FA"/>
    <w:rsid w:val="42D67EB9"/>
    <w:rsid w:val="42D9776F"/>
    <w:rsid w:val="435E1629"/>
    <w:rsid w:val="449D52F0"/>
    <w:rsid w:val="44B520B6"/>
    <w:rsid w:val="44E4041B"/>
    <w:rsid w:val="450D7972"/>
    <w:rsid w:val="45124F88"/>
    <w:rsid w:val="455756D2"/>
    <w:rsid w:val="4586644E"/>
    <w:rsid w:val="46830F81"/>
    <w:rsid w:val="46FD4B57"/>
    <w:rsid w:val="47074A6F"/>
    <w:rsid w:val="47AD071F"/>
    <w:rsid w:val="48267A20"/>
    <w:rsid w:val="483B65A4"/>
    <w:rsid w:val="488F68F0"/>
    <w:rsid w:val="48A00AFD"/>
    <w:rsid w:val="48EB7FCA"/>
    <w:rsid w:val="49391152"/>
    <w:rsid w:val="49BE748D"/>
    <w:rsid w:val="49F82F62"/>
    <w:rsid w:val="4A677B24"/>
    <w:rsid w:val="4A8F1BCB"/>
    <w:rsid w:val="4ACB608C"/>
    <w:rsid w:val="4BA6467C"/>
    <w:rsid w:val="4C366A8E"/>
    <w:rsid w:val="4C3C7520"/>
    <w:rsid w:val="4C673891"/>
    <w:rsid w:val="4C9D5A7F"/>
    <w:rsid w:val="4CD41969"/>
    <w:rsid w:val="4E047438"/>
    <w:rsid w:val="4F03470C"/>
    <w:rsid w:val="4F912F4E"/>
    <w:rsid w:val="4F9B60CD"/>
    <w:rsid w:val="502047DF"/>
    <w:rsid w:val="508F4BC9"/>
    <w:rsid w:val="51BF4996"/>
    <w:rsid w:val="53606265"/>
    <w:rsid w:val="54F45CD7"/>
    <w:rsid w:val="55195EBF"/>
    <w:rsid w:val="551A48F9"/>
    <w:rsid w:val="557F21C6"/>
    <w:rsid w:val="55DF3BBD"/>
    <w:rsid w:val="561C5C67"/>
    <w:rsid w:val="568A37A6"/>
    <w:rsid w:val="56CF07D4"/>
    <w:rsid w:val="572529A2"/>
    <w:rsid w:val="5753390A"/>
    <w:rsid w:val="57E666CC"/>
    <w:rsid w:val="58403763"/>
    <w:rsid w:val="588F0551"/>
    <w:rsid w:val="58B55EFF"/>
    <w:rsid w:val="58C223CA"/>
    <w:rsid w:val="58C46142"/>
    <w:rsid w:val="5A234895"/>
    <w:rsid w:val="5BC052E6"/>
    <w:rsid w:val="5C0F3B78"/>
    <w:rsid w:val="5CAD62E8"/>
    <w:rsid w:val="5CBA00D1"/>
    <w:rsid w:val="5CBB46F1"/>
    <w:rsid w:val="5CC11BBC"/>
    <w:rsid w:val="5D665C6D"/>
    <w:rsid w:val="5DA710BD"/>
    <w:rsid w:val="5EEC63F2"/>
    <w:rsid w:val="602F793F"/>
    <w:rsid w:val="60705FC5"/>
    <w:rsid w:val="607B7A2E"/>
    <w:rsid w:val="61480D21"/>
    <w:rsid w:val="620844CA"/>
    <w:rsid w:val="623745EA"/>
    <w:rsid w:val="62546789"/>
    <w:rsid w:val="63331920"/>
    <w:rsid w:val="63CE1AB3"/>
    <w:rsid w:val="65A00404"/>
    <w:rsid w:val="65D34FAF"/>
    <w:rsid w:val="662D008A"/>
    <w:rsid w:val="66A86E60"/>
    <w:rsid w:val="66F95B50"/>
    <w:rsid w:val="670C7632"/>
    <w:rsid w:val="671E48AE"/>
    <w:rsid w:val="68231E70"/>
    <w:rsid w:val="682D5AB2"/>
    <w:rsid w:val="686F74D7"/>
    <w:rsid w:val="68B72779"/>
    <w:rsid w:val="694722A0"/>
    <w:rsid w:val="697C06BF"/>
    <w:rsid w:val="69BB70ED"/>
    <w:rsid w:val="69D65CD5"/>
    <w:rsid w:val="6A76077C"/>
    <w:rsid w:val="6AF8585E"/>
    <w:rsid w:val="6B4B5D7A"/>
    <w:rsid w:val="6BE10A23"/>
    <w:rsid w:val="6CD47E6C"/>
    <w:rsid w:val="6CE07597"/>
    <w:rsid w:val="6D3A5999"/>
    <w:rsid w:val="6DF901E4"/>
    <w:rsid w:val="6E423939"/>
    <w:rsid w:val="6E545151"/>
    <w:rsid w:val="6F3F45BA"/>
    <w:rsid w:val="6F673418"/>
    <w:rsid w:val="704D10EC"/>
    <w:rsid w:val="705972E1"/>
    <w:rsid w:val="70C26FB3"/>
    <w:rsid w:val="70F76C5D"/>
    <w:rsid w:val="7127343D"/>
    <w:rsid w:val="721C4EC9"/>
    <w:rsid w:val="724B52EE"/>
    <w:rsid w:val="7263496C"/>
    <w:rsid w:val="73BC17B1"/>
    <w:rsid w:val="73D604DC"/>
    <w:rsid w:val="752A5432"/>
    <w:rsid w:val="753D7DE4"/>
    <w:rsid w:val="754200FE"/>
    <w:rsid w:val="75703289"/>
    <w:rsid w:val="75D2768A"/>
    <w:rsid w:val="75F47A99"/>
    <w:rsid w:val="7612069B"/>
    <w:rsid w:val="762656A3"/>
    <w:rsid w:val="769B32B4"/>
    <w:rsid w:val="76E25CB9"/>
    <w:rsid w:val="78564BB1"/>
    <w:rsid w:val="78874216"/>
    <w:rsid w:val="78E21FA1"/>
    <w:rsid w:val="791F54A6"/>
    <w:rsid w:val="7BFB3F2B"/>
    <w:rsid w:val="7E8835EA"/>
    <w:rsid w:val="7EAF0B77"/>
    <w:rsid w:val="7F7AAA04"/>
    <w:rsid w:val="7FFF2A5A"/>
    <w:rsid w:val="BFFF7686"/>
    <w:rsid w:val="DFFB2482"/>
    <w:rsid w:val="E7E50470"/>
    <w:rsid w:val="F4FF54AF"/>
    <w:rsid w:val="FFE1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0"/>
        <w:numId w:val="2"/>
      </w:numPr>
      <w:ind w:left="0" w:firstLine="0"/>
      <w:outlineLvl w:val="1"/>
    </w:pPr>
    <w:rPr>
      <w:rFonts w:ascii="Arial" w:hAnsi="Arial" w:eastAsia="楷体_GB2312"/>
      <w:b/>
      <w:bCs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0"/>
        <w:numId w:val="3"/>
      </w:numPr>
      <w:outlineLvl w:val="2"/>
    </w:pPr>
    <w:rPr>
      <w:b/>
      <w:bCs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6">
    <w:name w:val="annotation text"/>
    <w:basedOn w:val="1"/>
    <w:link w:val="36"/>
    <w:qFormat/>
    <w:uiPriority w:val="0"/>
    <w:pPr>
      <w:jc w:val="left"/>
    </w:pPr>
  </w:style>
  <w:style w:type="paragraph" w:styleId="7">
    <w:name w:val="Balloon Text"/>
    <w:basedOn w:val="1"/>
    <w:link w:val="32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12">
    <w:name w:val="annotation subject"/>
    <w:basedOn w:val="6"/>
    <w:next w:val="6"/>
    <w:link w:val="31"/>
    <w:qFormat/>
    <w:uiPriority w:val="0"/>
    <w:rPr>
      <w:b/>
      <w:bCs/>
    </w:rPr>
  </w:style>
  <w:style w:type="table" w:styleId="14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6">
    <w:name w:val="Strong"/>
    <w:qFormat/>
    <w:uiPriority w:val="0"/>
    <w:rPr>
      <w:b/>
    </w:rPr>
  </w:style>
  <w:style w:type="character" w:styleId="17">
    <w:name w:val="FollowedHyperlink"/>
    <w:qFormat/>
    <w:uiPriority w:val="0"/>
    <w:rPr>
      <w:color w:val="333333"/>
      <w:u w:val="none"/>
    </w:rPr>
  </w:style>
  <w:style w:type="character" w:styleId="18">
    <w:name w:val="Emphasis"/>
    <w:qFormat/>
    <w:uiPriority w:val="0"/>
  </w:style>
  <w:style w:type="character" w:styleId="19">
    <w:name w:val="HTML Definition"/>
    <w:qFormat/>
    <w:uiPriority w:val="0"/>
  </w:style>
  <w:style w:type="character" w:styleId="20">
    <w:name w:val="HTML Acronym"/>
    <w:qFormat/>
    <w:uiPriority w:val="0"/>
  </w:style>
  <w:style w:type="character" w:styleId="21">
    <w:name w:val="HTML Variable"/>
    <w:qFormat/>
    <w:uiPriority w:val="0"/>
  </w:style>
  <w:style w:type="character" w:styleId="22">
    <w:name w:val="Hyperlink"/>
    <w:qFormat/>
    <w:uiPriority w:val="0"/>
    <w:rPr>
      <w:color w:val="333333"/>
      <w:u w:val="none"/>
    </w:rPr>
  </w:style>
  <w:style w:type="character" w:styleId="23">
    <w:name w:val="HTML Code"/>
    <w:qFormat/>
    <w:uiPriority w:val="0"/>
    <w:rPr>
      <w:rFonts w:ascii="Courier New" w:hAnsi="Courier New"/>
      <w:sz w:val="20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styleId="25">
    <w:name w:val="HTML Cite"/>
    <w:qFormat/>
    <w:uiPriority w:val="0"/>
  </w:style>
  <w:style w:type="character" w:styleId="26">
    <w:name w:val="footnote reference"/>
    <w:qFormat/>
    <w:uiPriority w:val="0"/>
    <w:rPr>
      <w:vertAlign w:val="superscript"/>
    </w:rPr>
  </w:style>
  <w:style w:type="character" w:styleId="27">
    <w:name w:val="HTML Keyboard"/>
    <w:qFormat/>
    <w:uiPriority w:val="0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28">
    <w:name w:val="HTML Sample"/>
    <w:qFormat/>
    <w:uiPriority w:val="0"/>
    <w:rPr>
      <w:rFonts w:hint="default" w:ascii="Menlo" w:hAnsi="Menlo" w:eastAsia="Menlo" w:cs="Menlo"/>
      <w:sz w:val="21"/>
      <w:szCs w:val="21"/>
    </w:rPr>
  </w:style>
  <w:style w:type="paragraph" w:customStyle="1" w:styleId="29">
    <w:name w:val="S-正文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30">
    <w:name w:val="calendar-head__next-year-btn"/>
    <w:basedOn w:val="15"/>
    <w:qFormat/>
    <w:uiPriority w:val="0"/>
  </w:style>
  <w:style w:type="character" w:customStyle="1" w:styleId="31">
    <w:name w:val="批注主题 字符"/>
    <w:link w:val="12"/>
    <w:qFormat/>
    <w:uiPriority w:val="0"/>
    <w:rPr>
      <w:rFonts w:eastAsia="仿宋_GB2312"/>
      <w:b/>
      <w:bCs/>
      <w:kern w:val="2"/>
      <w:sz w:val="30"/>
      <w:szCs w:val="24"/>
    </w:rPr>
  </w:style>
  <w:style w:type="character" w:customStyle="1" w:styleId="32">
    <w:name w:val="批注框文本 字符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33">
    <w:name w:val="hover2"/>
    <w:qFormat/>
    <w:uiPriority w:val="0"/>
    <w:rPr>
      <w:color w:val="2F6EA2"/>
    </w:rPr>
  </w:style>
  <w:style w:type="character" w:customStyle="1" w:styleId="34">
    <w:name w:val="curre"/>
    <w:qFormat/>
    <w:uiPriority w:val="0"/>
    <w:rPr>
      <w:color w:val="FFFFFF"/>
      <w:shd w:val="clear" w:color="auto" w:fill="2F6EA2"/>
    </w:rPr>
  </w:style>
  <w:style w:type="character" w:customStyle="1" w:styleId="35">
    <w:name w:val="font21"/>
    <w:basedOn w:val="15"/>
    <w:qFormat/>
    <w:uiPriority w:val="0"/>
    <w:rPr>
      <w:rFonts w:hint="eastAsia" w:ascii="黑体" w:hAnsi="宋体" w:eastAsia="黑体"/>
      <w:color w:val="000000"/>
      <w:sz w:val="21"/>
    </w:rPr>
  </w:style>
  <w:style w:type="character" w:customStyle="1" w:styleId="36">
    <w:name w:val="批注文字 字符"/>
    <w:link w:val="6"/>
    <w:qFormat/>
    <w:uiPriority w:val="0"/>
    <w:rPr>
      <w:rFonts w:eastAsia="仿宋_GB2312"/>
      <w:kern w:val="2"/>
      <w:sz w:val="30"/>
      <w:szCs w:val="24"/>
    </w:rPr>
  </w:style>
  <w:style w:type="character" w:customStyle="1" w:styleId="37">
    <w:name w:val="active4"/>
    <w:qFormat/>
    <w:uiPriority w:val="0"/>
    <w:rPr>
      <w:color w:val="333333"/>
    </w:rPr>
  </w:style>
  <w:style w:type="character" w:customStyle="1" w:styleId="38">
    <w:name w:val="calendar-head__text-display"/>
    <w:qFormat/>
    <w:uiPriority w:val="0"/>
    <w:rPr>
      <w:vanish/>
    </w:rPr>
  </w:style>
  <w:style w:type="character" w:customStyle="1" w:styleId="39">
    <w:name w:val="active"/>
    <w:qFormat/>
    <w:uiPriority w:val="0"/>
    <w:rPr>
      <w:color w:val="333333"/>
    </w:rPr>
  </w:style>
  <w:style w:type="character" w:customStyle="1" w:styleId="40">
    <w:name w:val="hover"/>
    <w:qFormat/>
    <w:uiPriority w:val="0"/>
    <w:rPr>
      <w:color w:val="2F6EA2"/>
    </w:rPr>
  </w:style>
  <w:style w:type="character" w:customStyle="1" w:styleId="41">
    <w:name w:val="calendar-head__next-month-btn"/>
    <w:basedOn w:val="15"/>
    <w:qFormat/>
    <w:uiPriority w:val="0"/>
  </w:style>
  <w:style w:type="character" w:customStyle="1" w:styleId="42">
    <w:name w:val="calendar-head__prev-range-btn"/>
    <w:qFormat/>
    <w:uiPriority w:val="0"/>
    <w:rPr>
      <w:vanish/>
    </w:rPr>
  </w:style>
  <w:style w:type="character" w:customStyle="1" w:styleId="43">
    <w:name w:val="font11"/>
    <w:qFormat/>
    <w:uiPriority w:val="0"/>
    <w:rPr>
      <w:rFonts w:hint="eastAsia" w:ascii="黑体" w:hAnsi="宋体" w:eastAsia="黑体"/>
      <w:color w:val="000000"/>
      <w:sz w:val="21"/>
    </w:rPr>
  </w:style>
  <w:style w:type="character" w:customStyle="1" w:styleId="44">
    <w:name w:val="font01"/>
    <w:qFormat/>
    <w:uiPriority w:val="0"/>
    <w:rPr>
      <w:rFonts w:hint="default" w:ascii="Calibri" w:hAnsi="Calibri" w:eastAsia="宋体"/>
      <w:b/>
      <w:color w:val="000000"/>
      <w:sz w:val="24"/>
      <w:vertAlign w:val="superscript"/>
    </w:rPr>
  </w:style>
  <w:style w:type="character" w:customStyle="1" w:styleId="45">
    <w:name w:val="calendar-head__year-range"/>
    <w:qFormat/>
    <w:uiPriority w:val="0"/>
    <w:rPr>
      <w:vanish/>
    </w:rPr>
  </w:style>
  <w:style w:type="character" w:customStyle="1" w:styleId="46">
    <w:name w:val="calendar-head__next-range-btn"/>
    <w:qFormat/>
    <w:uiPriority w:val="0"/>
    <w:rPr>
      <w:vanish/>
    </w:rPr>
  </w:style>
  <w:style w:type="character" w:customStyle="1" w:styleId="47">
    <w:name w:val="我的正文 字符"/>
    <w:link w:val="48"/>
    <w:qFormat/>
    <w:uiPriority w:val="0"/>
    <w:rPr>
      <w:rFonts w:ascii="仿宋_GB2312" w:hAnsi="Times New Roman" w:eastAsia="仿宋_GB2312" w:cs="Times New Roman"/>
      <w:kern w:val="0"/>
      <w:sz w:val="32"/>
      <w:szCs w:val="32"/>
    </w:rPr>
  </w:style>
  <w:style w:type="paragraph" w:customStyle="1" w:styleId="48">
    <w:name w:val="我的正文"/>
    <w:basedOn w:val="1"/>
    <w:link w:val="47"/>
    <w:qFormat/>
    <w:uiPriority w:val="0"/>
    <w:pPr>
      <w:spacing w:line="590" w:lineRule="exact"/>
      <w:ind w:firstLine="640" w:firstLineChars="200"/>
    </w:pPr>
    <w:rPr>
      <w:rFonts w:ascii="仿宋_GB2312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4819</Words>
  <Characters>5241</Characters>
  <Lines>37</Lines>
  <Paragraphs>10</Paragraphs>
  <TotalTime>0</TotalTime>
  <ScaleCrop>false</ScaleCrop>
  <LinksUpToDate>false</LinksUpToDate>
  <CharactersWithSpaces>5253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2020-11-07T01:56:00Z</dcterms:created>
  <dc:creator>Zhang Chi</dc:creator>
  <cp:lastModifiedBy>张驰Colin</cp:lastModifiedBy>
  <cp:lastPrinted>2020-11-16T20:38:00Z</cp:lastPrinted>
  <dcterms:modified xsi:type="dcterms:W3CDTF">2024-12-13T07:37:57Z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154C734DCFA94263A1050661267F48B2_13</vt:lpwstr>
  </property>
</Properties>
</file>