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潮州市北溪分洪桥闸管理和保护范围</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划定成果说明</w:t>
      </w:r>
    </w:p>
    <w:p>
      <w:pPr>
        <w:pStyle w:val="2"/>
        <w:ind w:left="0" w:leftChars="0" w:firstLine="0" w:firstLineChars="0"/>
        <w:jc w:val="center"/>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一、水利工程管理和保护范围划定有关法律法规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《中华人民共和国水法》</w:t>
      </w:r>
      <w:r>
        <w:rPr>
          <w:rFonts w:hint="eastAsia" w:ascii="黑体" w:hAnsi="黑体" w:eastAsia="黑体" w:cs="黑体"/>
          <w:sz w:val="30"/>
          <w:szCs w:val="30"/>
        </w:rPr>
        <w:t>第四十三条</w:t>
      </w:r>
      <w:r>
        <w:rPr>
          <w:rFonts w:hint="eastAsia" w:ascii="仿宋_GB2312" w:hAnsi="仿宋_GB2312" w:eastAsia="仿宋_GB2312" w:cs="仿宋_GB2312"/>
          <w:sz w:val="30"/>
          <w:szCs w:val="30"/>
        </w:rPr>
        <w:t>　国家对水工程实施保护。国家所有的水工程应当按照国务院的规定划定工程管理和保护范围。</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《中华人民共和国防洪法》</w:t>
      </w:r>
      <w:r>
        <w:rPr>
          <w:rFonts w:hint="eastAsia" w:ascii="黑体" w:hAnsi="黑体" w:eastAsia="黑体" w:cs="黑体"/>
          <w:sz w:val="30"/>
          <w:szCs w:val="30"/>
        </w:rPr>
        <w:t>第三十五条</w:t>
      </w:r>
      <w:r>
        <w:rPr>
          <w:rFonts w:hint="eastAsia" w:ascii="仿宋_GB2312" w:hAnsi="仿宋_GB2312" w:eastAsia="仿宋_GB2312" w:cs="仿宋_GB2312"/>
          <w:sz w:val="30"/>
          <w:szCs w:val="30"/>
        </w:rPr>
        <w:t>　属于国家所有的防洪工程设施，应当按照经批准的设计，在竣工验收前由县级以上人民政府按照国家规定，划定管理和保护范围。</w: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《中华人民共和国河道管理条例》</w:t>
      </w:r>
      <w:r>
        <w:rPr>
          <w:rFonts w:hint="eastAsia" w:ascii="黑体" w:hAnsi="黑体" w:eastAsia="黑体" w:cs="黑体"/>
          <w:kern w:val="0"/>
          <w:sz w:val="30"/>
          <w:szCs w:val="30"/>
          <w:lang w:val="en-US" w:eastAsia="zh-CN" w:bidi="ar"/>
        </w:rPr>
        <w:t>第二十条</w:t>
      </w:r>
      <w:r>
        <w:rPr>
          <w:rFonts w:hint="eastAsia" w:ascii="仿宋_GB2312" w:hAnsi="仿宋_GB2312" w:eastAsia="仿宋_GB2312" w:cs="仿宋_GB2312"/>
          <w:kern w:val="0"/>
          <w:sz w:val="30"/>
          <w:szCs w:val="30"/>
          <w:lang w:val="en-US" w:eastAsia="zh-CN" w:bidi="ar"/>
        </w:rPr>
        <w:t>　有堤防的河道，其管理范围为两岸堤防之间的水域、沙洲、滩地（包括可耕地）、行洪区，两岸堤防及护堤地。</w: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无堤防的河道，其管理范围根据历史最高洪水位或者设计洪水位确定。</w:t>
      </w:r>
    </w:p>
    <w:p>
      <w:pPr>
        <w:keepNext w:val="0"/>
        <w:keepLines w:val="0"/>
        <w:widowControl/>
        <w:suppressLineNumbers w:val="0"/>
        <w:jc w:val="left"/>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河道的具体管理范围，由县级以上地方人民政府负责划定。</w:t>
      </w:r>
    </w:p>
    <w:p>
      <w:pPr>
        <w:pStyle w:val="2"/>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《广东省水利工程管理条例》</w:t>
      </w:r>
      <w:r>
        <w:rPr>
          <w:rFonts w:hint="eastAsia" w:ascii="黑体" w:hAnsi="黑体" w:eastAsia="黑体" w:cs="黑体"/>
          <w:sz w:val="30"/>
          <w:szCs w:val="30"/>
        </w:rPr>
        <w:t>第十五条</w:t>
      </w:r>
      <w:r>
        <w:rPr>
          <w:rFonts w:hint="eastAsia" w:ascii="仿宋_GB2312" w:hAnsi="仿宋_GB2312" w:eastAsia="仿宋_GB2312" w:cs="仿宋_GB2312"/>
          <w:sz w:val="30"/>
          <w:szCs w:val="30"/>
        </w:rPr>
        <w:t xml:space="preserve"> 县级以上人民政府应当按照下列标准划定国家所有的水利工程管理范围：（三）水闸。工程区：水闸工程各组成部分（包括上游引水渠、闸室、下游消能防冲工程和两岸连接建筑物等）的覆盖范围以及水闸上、下游、两侧的宽度，大型水闸上、下游宽度三百至一千米，两侧宽度五十至二百米；中型水闸上、下游五十至三百米，两侧宽度三十至五十米。</w:t>
      </w:r>
    </w:p>
    <w:p>
      <w:pPr>
        <w:pStyle w:val="2"/>
        <w:numPr>
          <w:ilvl w:val="0"/>
          <w:numId w:val="2"/>
        </w:num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县级以上人民政府应当按照下列标准在水利工程管理范围边界外延划定水利工程保护范围：水库、堤防、水闸和灌区的工程区、生产区的主体建筑物不少于二百米，其他附属建筑物不少于五十米</w:t>
      </w:r>
      <w:r>
        <w:rPr>
          <w:rFonts w:hint="eastAsia" w:ascii="仿宋_GB2312" w:hAnsi="仿宋_GB2312" w:eastAsia="仿宋_GB2312" w:cs="仿宋_GB2312"/>
          <w:sz w:val="30"/>
          <w:szCs w:val="30"/>
          <w:lang w:eastAsia="zh-CN"/>
        </w:rPr>
        <w:t>。</w:t>
      </w:r>
    </w:p>
    <w:p>
      <w:pPr>
        <w:pStyle w:val="2"/>
        <w:numPr>
          <w:ilvl w:val="0"/>
          <w:numId w:val="3"/>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水利工程保护范围内的土地，其权属不变，但必须按本条例的规定限制使用。</w:t>
      </w:r>
    </w:p>
    <w:p>
      <w:pPr>
        <w:pStyle w:val="2"/>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第二十条</w:t>
      </w:r>
      <w:r>
        <w:rPr>
          <w:rFonts w:hint="eastAsia" w:ascii="仿宋_GB2312" w:hAnsi="仿宋_GB2312" w:eastAsia="仿宋_GB2312" w:cs="仿宋_GB2312"/>
          <w:sz w:val="30"/>
          <w:szCs w:val="30"/>
        </w:rPr>
        <w:t xml:space="preserve"> 水利工程管理单位应当在水利工程管理范围和保护范围的边界埋设永久界桩，任何单位和个人不得移动和破坏所设界桩。</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二、潮州市北溪分洪桥闸管理和保护范围划定情况</w:t>
      </w:r>
    </w:p>
    <w:p>
      <w:pPr>
        <w:pStyle w:val="2"/>
        <w:numPr>
          <w:ilvl w:val="0"/>
          <w:numId w:val="0"/>
        </w:numPr>
        <w:ind w:firstLine="64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2"/>
          <w:szCs w:val="32"/>
          <w:lang w:val="en-US" w:eastAsia="zh-CN"/>
        </w:rPr>
        <w:t>（一）基本情况。潮州市</w:t>
      </w:r>
      <w:r>
        <w:rPr>
          <w:rFonts w:hint="eastAsia" w:ascii="仿宋_GB2312" w:hAnsi="仿宋_GB2312" w:eastAsia="仿宋_GB2312" w:cs="仿宋_GB2312"/>
          <w:sz w:val="32"/>
          <w:szCs w:val="32"/>
          <w:lang w:val="en-US" w:eastAsia="zh-CN"/>
        </w:rPr>
        <w:t>北溪分洪桥闸建成于1957年，工程位于</w:t>
      </w:r>
      <w:r>
        <w:rPr>
          <w:rFonts w:hint="eastAsia" w:ascii="仿宋_GB2312" w:hAnsi="仿宋_GB2312" w:cs="仿宋_GB2312"/>
          <w:sz w:val="32"/>
          <w:szCs w:val="32"/>
          <w:lang w:val="en-US" w:eastAsia="zh-CN"/>
        </w:rPr>
        <w:t>潮州市湘桥区桥东街道，</w:t>
      </w:r>
      <w:r>
        <w:rPr>
          <w:rFonts w:hint="eastAsia" w:ascii="仿宋_GB2312" w:hAnsi="仿宋_GB2312" w:eastAsia="仿宋_GB2312" w:cs="仿宋_GB2312"/>
          <w:sz w:val="32"/>
          <w:szCs w:val="32"/>
          <w:lang w:val="en-US" w:eastAsia="zh-CN"/>
        </w:rPr>
        <w:t>韩江北溪进口处，</w:t>
      </w:r>
      <w:r>
        <w:rPr>
          <w:rFonts w:hint="eastAsia" w:ascii="仿宋_GB2312" w:hAnsi="仿宋_GB2312" w:eastAsia="仿宋_GB2312" w:cs="仿宋_GB2312"/>
          <w:sz w:val="32"/>
          <w:szCs w:val="28"/>
        </w:rPr>
        <w:t>潮州八景之一的“龙湫宝塔”旁</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32"/>
          <w:lang w:val="en-US" w:eastAsia="zh-CN"/>
        </w:rPr>
        <w:t>是一座具有</w:t>
      </w:r>
      <w:r>
        <w:rPr>
          <w:rFonts w:hint="eastAsia" w:ascii="仿宋_GB2312" w:hAnsi="仿宋_GB2312" w:eastAsia="仿宋_GB2312" w:cs="仿宋_GB2312"/>
          <w:sz w:val="32"/>
          <w:szCs w:val="28"/>
        </w:rPr>
        <w:t>于控洪、排涝、交通、灌溉、生态补水等综合</w:t>
      </w:r>
      <w:r>
        <w:rPr>
          <w:rFonts w:hint="eastAsia" w:ascii="仿宋_GB2312" w:hAnsi="仿宋_GB2312" w:eastAsia="仿宋_GB2312" w:cs="仿宋_GB2312"/>
          <w:sz w:val="32"/>
          <w:szCs w:val="28"/>
          <w:lang w:val="en-US" w:eastAsia="zh-CN"/>
        </w:rPr>
        <w:t>利用</w:t>
      </w:r>
      <w:r>
        <w:rPr>
          <w:rFonts w:hint="eastAsia" w:ascii="仿宋_GB2312" w:hAnsi="仿宋_GB2312" w:eastAsia="仿宋_GB2312" w:cs="仿宋_GB2312"/>
          <w:sz w:val="32"/>
          <w:szCs w:val="32"/>
          <w:lang w:val="en-US" w:eastAsia="zh-CN"/>
        </w:rPr>
        <w:t>的大（2）型水闸。</w:t>
      </w:r>
      <w:r>
        <w:rPr>
          <w:rFonts w:hint="eastAsia" w:ascii="仿宋_GB2312" w:hAnsi="仿宋_GB2312" w:eastAsia="仿宋_GB2312" w:cs="仿宋_GB2312"/>
          <w:sz w:val="32"/>
          <w:szCs w:val="32"/>
        </w:rPr>
        <w:t>潮州市北溪分洪桥闸重建工程</w:t>
      </w:r>
      <w:r>
        <w:rPr>
          <w:rFonts w:hint="eastAsia" w:ascii="仿宋_GB2312" w:hAnsi="仿宋_GB2312" w:eastAsia="仿宋_GB2312" w:cs="仿宋_GB2312"/>
          <w:sz w:val="32"/>
          <w:szCs w:val="28"/>
        </w:rPr>
        <w:t>于2022年11月开工建设，2024年</w:t>
      </w:r>
      <w:r>
        <w:rPr>
          <w:rFonts w:hint="eastAsia" w:ascii="仿宋_GB2312" w:hAnsi="仿宋_GB2312" w:cs="仿宋_GB2312"/>
          <w:sz w:val="32"/>
          <w:szCs w:val="28"/>
          <w:lang w:val="en-US" w:eastAsia="zh-CN"/>
        </w:rPr>
        <w:t>12</w:t>
      </w:r>
      <w:r>
        <w:rPr>
          <w:rFonts w:hint="eastAsia" w:ascii="仿宋_GB2312" w:hAnsi="仿宋_GB2312" w:eastAsia="仿宋_GB2312" w:cs="仿宋_GB2312"/>
          <w:sz w:val="32"/>
          <w:szCs w:val="28"/>
        </w:rPr>
        <w:t>月完工</w:t>
      </w:r>
      <w:r>
        <w:rPr>
          <w:rFonts w:hint="eastAsia" w:ascii="仿宋_GB2312" w:hAnsi="仿宋_GB2312" w:eastAsia="仿宋_GB2312" w:cs="仿宋_GB2312"/>
          <w:sz w:val="30"/>
          <w:szCs w:val="30"/>
        </w:rPr>
        <w:t>。</w:t>
      </w:r>
    </w:p>
    <w:p>
      <w:pPr>
        <w:pStyle w:val="2"/>
        <w:numPr>
          <w:numId w:val="0"/>
        </w:numPr>
        <w:ind w:firstLine="64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2"/>
          <w:szCs w:val="32"/>
          <w:lang w:val="en-US" w:eastAsia="zh-CN"/>
        </w:rPr>
        <w:t>（二）划定原则。依照《广东省水利工程管理条例》第十五条划定</w:t>
      </w:r>
      <w:r>
        <w:rPr>
          <w:rFonts w:hint="eastAsia" w:ascii="仿宋_GB2312" w:hAnsi="仿宋_GB2312" w:eastAsia="仿宋_GB2312" w:cs="仿宋_GB2312"/>
          <w:sz w:val="30"/>
          <w:szCs w:val="30"/>
        </w:rPr>
        <w:t>管理范围</w:t>
      </w:r>
      <w:r>
        <w:rPr>
          <w:rFonts w:hint="eastAsia" w:ascii="仿宋_GB2312" w:hAnsi="仿宋_GB2312" w:cs="仿宋_GB2312"/>
          <w:sz w:val="30"/>
          <w:szCs w:val="30"/>
          <w:lang w:eastAsia="zh-CN"/>
        </w:rPr>
        <w:t>（</w:t>
      </w:r>
      <w:r>
        <w:rPr>
          <w:rFonts w:hint="eastAsia" w:ascii="仿宋_GB2312" w:hAnsi="仿宋_GB2312" w:cs="仿宋_GB2312"/>
          <w:sz w:val="32"/>
          <w:szCs w:val="32"/>
          <w:lang w:val="en-US" w:eastAsia="zh-CN"/>
        </w:rPr>
        <w:t>按大型水闸下限值</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即</w:t>
      </w:r>
      <w:r>
        <w:rPr>
          <w:rFonts w:hint="eastAsia" w:ascii="仿宋_GB2312" w:hAnsi="仿宋_GB2312" w:eastAsia="仿宋_GB2312" w:cs="仿宋_GB2312"/>
          <w:sz w:val="30"/>
          <w:szCs w:val="30"/>
        </w:rPr>
        <w:t>水闸工程各组成部分（包括上游引水渠、闸室、下游消能防冲工程和两岸连接建筑物等）的覆盖范围以及水闸上、下游、两侧的宽度，大型水闸上、下游宽度三百米，两侧宽度五十米</w:t>
      </w:r>
      <w:r>
        <w:rPr>
          <w:rFonts w:hint="eastAsia" w:ascii="仿宋_GB2312" w:hAnsi="仿宋_GB2312" w:cs="仿宋_GB2312"/>
          <w:sz w:val="30"/>
          <w:szCs w:val="30"/>
          <w:lang w:eastAsia="zh-CN"/>
        </w:rPr>
        <w:t>；</w:t>
      </w:r>
      <w:r>
        <w:rPr>
          <w:rFonts w:hint="eastAsia" w:ascii="仿宋_GB2312" w:hAnsi="仿宋_GB2312" w:cs="仿宋_GB2312"/>
          <w:sz w:val="32"/>
          <w:szCs w:val="32"/>
          <w:lang w:val="en-US" w:eastAsia="zh-CN"/>
        </w:rPr>
        <w:t>第十六条划定</w:t>
      </w:r>
      <w:r>
        <w:rPr>
          <w:rFonts w:hint="eastAsia" w:ascii="仿宋_GB2312" w:hAnsi="仿宋_GB2312" w:cs="仿宋_GB2312"/>
          <w:sz w:val="30"/>
          <w:szCs w:val="30"/>
          <w:lang w:val="en-US" w:eastAsia="zh-CN"/>
        </w:rPr>
        <w:t>保护</w:t>
      </w:r>
      <w:r>
        <w:rPr>
          <w:rFonts w:hint="eastAsia" w:ascii="仿宋_GB2312" w:hAnsi="仿宋_GB2312" w:eastAsia="仿宋_GB2312" w:cs="仿宋_GB2312"/>
          <w:sz w:val="30"/>
          <w:szCs w:val="30"/>
        </w:rPr>
        <w:t>范围</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即</w:t>
      </w:r>
      <w:r>
        <w:rPr>
          <w:rFonts w:hint="eastAsia" w:ascii="仿宋_GB2312" w:hAnsi="仿宋_GB2312" w:eastAsia="仿宋_GB2312" w:cs="仿宋_GB2312"/>
          <w:sz w:val="30"/>
          <w:szCs w:val="30"/>
        </w:rPr>
        <w:t>水闸的工程区、生产区的主体建筑物不少于二百米，其他附属建筑物不少于五十米</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24"/>
          <w:szCs w:val="24"/>
          <w:lang w:val="en-US" w:eastAsia="zh-CN"/>
        </w:rPr>
      </w:pPr>
      <w:bookmarkStart w:id="0" w:name="_GoBack"/>
      <w:bookmarkEnd w:id="0"/>
    </w:p>
    <w:sectPr>
      <w:pgSz w:w="11906" w:h="16838"/>
      <w:pgMar w:top="2098" w:right="1474" w:bottom="1984" w:left="1587" w:header="851" w:footer="992" w:gutter="0"/>
      <w:cols w:space="0" w:num="1"/>
      <w:rtlGutter w:val="0"/>
      <w:docGrid w:type="line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DC466"/>
    <w:multiLevelType w:val="singleLevel"/>
    <w:tmpl w:val="86CDC466"/>
    <w:lvl w:ilvl="0" w:tentative="0">
      <w:start w:val="16"/>
      <w:numFmt w:val="chineseCounting"/>
      <w:suff w:val="space"/>
      <w:lvlText w:val="第%1条"/>
      <w:lvlJc w:val="left"/>
      <w:rPr>
        <w:rFonts w:hint="eastAsia" w:ascii="黑体" w:hAnsi="黑体" w:eastAsia="黑体" w:cs="黑体"/>
      </w:rPr>
    </w:lvl>
  </w:abstractNum>
  <w:abstractNum w:abstractNumId="1">
    <w:nsid w:val="2906B5D6"/>
    <w:multiLevelType w:val="singleLevel"/>
    <w:tmpl w:val="2906B5D6"/>
    <w:lvl w:ilvl="0" w:tentative="0">
      <w:start w:val="19"/>
      <w:numFmt w:val="chineseCounting"/>
      <w:suff w:val="space"/>
      <w:lvlText w:val="第%1条"/>
      <w:lvlJc w:val="left"/>
      <w:rPr>
        <w:rFonts w:hint="eastAsia" w:ascii="黑体" w:hAnsi="黑体" w:eastAsia="黑体" w:cs="黑体"/>
      </w:rPr>
    </w:lvl>
  </w:abstractNum>
  <w:abstractNum w:abstractNumId="2">
    <w:nsid w:val="3D0E3843"/>
    <w:multiLevelType w:val="multilevel"/>
    <w:tmpl w:val="3D0E3843"/>
    <w:lvl w:ilvl="0" w:tentative="0">
      <w:start w:val="1"/>
      <w:numFmt w:val="decimal"/>
      <w:pStyle w:val="4"/>
      <w:lvlText w:val="%1"/>
      <w:lvlJc w:val="left"/>
      <w:pPr>
        <w:tabs>
          <w:tab w:val="left" w:pos="581"/>
        </w:tabs>
        <w:ind w:left="581" w:hanging="432"/>
      </w:pPr>
      <w:rPr>
        <w:sz w:val="44"/>
        <w:szCs w:val="44"/>
      </w:rPr>
    </w:lvl>
    <w:lvl w:ilvl="1" w:tentative="0">
      <w:start w:val="1"/>
      <w:numFmt w:val="decimal"/>
      <w:pStyle w:val="6"/>
      <w:lvlText w:val="%1.%2"/>
      <w:lvlJc w:val="left"/>
      <w:pPr>
        <w:tabs>
          <w:tab w:val="left" w:pos="725"/>
        </w:tabs>
        <w:ind w:left="725" w:hanging="576"/>
      </w:pPr>
    </w:lvl>
    <w:lvl w:ilvl="2" w:tentative="0">
      <w:start w:val="1"/>
      <w:numFmt w:val="decimal"/>
      <w:pStyle w:val="7"/>
      <w:lvlText w:val="%1.%2.%3"/>
      <w:lvlJc w:val="left"/>
      <w:pPr>
        <w:tabs>
          <w:tab w:val="left" w:pos="1430"/>
        </w:tabs>
        <w:ind w:left="1430" w:hanging="720"/>
      </w:pPr>
    </w:lvl>
    <w:lvl w:ilvl="3" w:tentative="0">
      <w:start w:val="1"/>
      <w:numFmt w:val="decimal"/>
      <w:pStyle w:val="8"/>
      <w:lvlText w:val="%1.%2.%3.%4"/>
      <w:lvlJc w:val="left"/>
      <w:pPr>
        <w:tabs>
          <w:tab w:val="left" w:pos="1857"/>
        </w:tabs>
        <w:ind w:left="1857" w:hanging="864"/>
      </w:pPr>
    </w:lvl>
    <w:lvl w:ilvl="4" w:tentative="0">
      <w:start w:val="1"/>
      <w:numFmt w:val="decimal"/>
      <w:pStyle w:val="9"/>
      <w:lvlText w:val="%1.%2.%3.%4.%5"/>
      <w:lvlJc w:val="left"/>
      <w:pPr>
        <w:tabs>
          <w:tab w:val="left" w:pos="1157"/>
        </w:tabs>
        <w:ind w:left="1157" w:hanging="1008"/>
      </w:pPr>
    </w:lvl>
    <w:lvl w:ilvl="5" w:tentative="0">
      <w:start w:val="1"/>
      <w:numFmt w:val="decimal"/>
      <w:pStyle w:val="10"/>
      <w:lvlText w:val="%1.%2.%3.%4.%5.%6"/>
      <w:lvlJc w:val="left"/>
      <w:pPr>
        <w:tabs>
          <w:tab w:val="left" w:pos="1301"/>
        </w:tabs>
        <w:ind w:left="1301" w:hanging="1152"/>
      </w:pPr>
    </w:lvl>
    <w:lvl w:ilvl="6" w:tentative="0">
      <w:start w:val="1"/>
      <w:numFmt w:val="decimal"/>
      <w:pStyle w:val="11"/>
      <w:lvlText w:val="%1.%2.%3.%4.%5.%6.%7"/>
      <w:lvlJc w:val="left"/>
      <w:pPr>
        <w:tabs>
          <w:tab w:val="left" w:pos="1445"/>
        </w:tabs>
        <w:ind w:left="1445" w:hanging="1296"/>
      </w:pPr>
    </w:lvl>
    <w:lvl w:ilvl="7" w:tentative="0">
      <w:start w:val="1"/>
      <w:numFmt w:val="decimal"/>
      <w:pStyle w:val="12"/>
      <w:lvlText w:val="%1.%2.%3.%4.%5.%6.%7.%8"/>
      <w:lvlJc w:val="left"/>
      <w:pPr>
        <w:tabs>
          <w:tab w:val="left" w:pos="1589"/>
        </w:tabs>
        <w:ind w:left="1589" w:hanging="1440"/>
      </w:pPr>
    </w:lvl>
    <w:lvl w:ilvl="8" w:tentative="0">
      <w:start w:val="1"/>
      <w:numFmt w:val="decimal"/>
      <w:pStyle w:val="13"/>
      <w:lvlText w:val="%1.%2.%3.%4.%5.%6.%7.%8.%9"/>
      <w:lvlJc w:val="left"/>
      <w:pPr>
        <w:tabs>
          <w:tab w:val="left" w:pos="1733"/>
        </w:tabs>
        <w:ind w:left="1733"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00C5B"/>
    <w:rsid w:val="03615F9C"/>
    <w:rsid w:val="036E7EE6"/>
    <w:rsid w:val="072A67BA"/>
    <w:rsid w:val="093A1F39"/>
    <w:rsid w:val="09A66646"/>
    <w:rsid w:val="0DE50448"/>
    <w:rsid w:val="0F842EB8"/>
    <w:rsid w:val="185B22F0"/>
    <w:rsid w:val="1AC500A3"/>
    <w:rsid w:val="1FDD18E4"/>
    <w:rsid w:val="205F24A4"/>
    <w:rsid w:val="2124146F"/>
    <w:rsid w:val="26D522D0"/>
    <w:rsid w:val="2A7201B4"/>
    <w:rsid w:val="2A7D4C7D"/>
    <w:rsid w:val="2BF008F1"/>
    <w:rsid w:val="2C222C7D"/>
    <w:rsid w:val="2D603CE1"/>
    <w:rsid w:val="2D6138C9"/>
    <w:rsid w:val="304E5918"/>
    <w:rsid w:val="34B61555"/>
    <w:rsid w:val="36350444"/>
    <w:rsid w:val="393A66EA"/>
    <w:rsid w:val="39447E02"/>
    <w:rsid w:val="3B006ED9"/>
    <w:rsid w:val="3E2B335E"/>
    <w:rsid w:val="42432969"/>
    <w:rsid w:val="45717002"/>
    <w:rsid w:val="46D64180"/>
    <w:rsid w:val="47721BAB"/>
    <w:rsid w:val="48214286"/>
    <w:rsid w:val="49077667"/>
    <w:rsid w:val="4B1939B8"/>
    <w:rsid w:val="4C6A23D3"/>
    <w:rsid w:val="4F7D65E0"/>
    <w:rsid w:val="50CC54C3"/>
    <w:rsid w:val="531E6161"/>
    <w:rsid w:val="5F6E00BA"/>
    <w:rsid w:val="655E1541"/>
    <w:rsid w:val="65D45191"/>
    <w:rsid w:val="65F11C34"/>
    <w:rsid w:val="6DA53632"/>
    <w:rsid w:val="6DE85E5B"/>
    <w:rsid w:val="6E5143AA"/>
    <w:rsid w:val="704F00D9"/>
    <w:rsid w:val="73D335A8"/>
    <w:rsid w:val="73FF490D"/>
    <w:rsid w:val="76E8090B"/>
    <w:rsid w:val="7C1A7D01"/>
    <w:rsid w:val="7E3B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 w:hAnsi="仿宋" w:eastAsia="仿宋_GB2312" w:cs="仿宋_GB2312"/>
      <w:kern w:val="0"/>
      <w:sz w:val="32"/>
      <w:szCs w:val="32"/>
      <w:lang w:val="en-US" w:eastAsia="zh-CN" w:bidi="ar-SA"/>
    </w:rPr>
  </w:style>
  <w:style w:type="paragraph" w:styleId="4">
    <w:name w:val="heading 1"/>
    <w:basedOn w:val="1"/>
    <w:next w:val="5"/>
    <w:qFormat/>
    <w:uiPriority w:val="0"/>
    <w:pPr>
      <w:keepNext/>
      <w:keepLines/>
      <w:numPr>
        <w:ilvl w:val="0"/>
        <w:numId w:val="1"/>
      </w:numPr>
      <w:spacing w:beforeLines="0" w:beforeAutospacing="0" w:afterLines="0" w:afterAutospacing="0" w:line="560" w:lineRule="exact"/>
      <w:ind w:left="581" w:hanging="432" w:firstLineChars="0"/>
      <w:jc w:val="center"/>
      <w:outlineLvl w:val="0"/>
    </w:pPr>
    <w:rPr>
      <w:rFonts w:eastAsia="方正小标宋简体"/>
      <w:kern w:val="44"/>
      <w:sz w:val="44"/>
    </w:rPr>
  </w:style>
  <w:style w:type="paragraph" w:styleId="6">
    <w:name w:val="heading 2"/>
    <w:basedOn w:val="1"/>
    <w:next w:val="1"/>
    <w:semiHidden/>
    <w:unhideWhenUsed/>
    <w:qFormat/>
    <w:uiPriority w:val="0"/>
    <w:pPr>
      <w:keepNext w:val="0"/>
      <w:keepLines w:val="0"/>
      <w:numPr>
        <w:ilvl w:val="1"/>
        <w:numId w:val="1"/>
      </w:numPr>
      <w:spacing w:beforeLines="0" w:beforeAutospacing="0" w:afterLines="0" w:afterAutospacing="0" w:line="560" w:lineRule="exact"/>
      <w:ind w:left="0" w:firstLine="0" w:firstLineChars="0"/>
      <w:outlineLvl w:val="1"/>
    </w:pPr>
    <w:rPr>
      <w:rFonts w:ascii="Arial" w:hAnsi="Arial" w:eastAsia="黑体"/>
      <w:b/>
    </w:rPr>
  </w:style>
  <w:style w:type="paragraph" w:styleId="7">
    <w:name w:val="heading 3"/>
    <w:basedOn w:val="1"/>
    <w:next w:val="1"/>
    <w:link w:val="16"/>
    <w:semiHidden/>
    <w:unhideWhenUsed/>
    <w:qFormat/>
    <w:uiPriority w:val="0"/>
    <w:pPr>
      <w:keepNext/>
      <w:keepLines/>
      <w:numPr>
        <w:ilvl w:val="2"/>
        <w:numId w:val="1"/>
      </w:numPr>
      <w:tabs>
        <w:tab w:val="left" w:pos="0"/>
        <w:tab w:val="left" w:pos="709"/>
      </w:tabs>
      <w:adjustRightInd/>
      <w:spacing w:line="560" w:lineRule="exact"/>
      <w:ind w:left="1430" w:hanging="720" w:firstLineChars="0"/>
      <w:jc w:val="left"/>
      <w:outlineLvl w:val="2"/>
    </w:pPr>
    <w:rPr>
      <w:rFonts w:ascii="Times New Roman" w:hAnsi="Times New Roman" w:eastAsia="楷体_GB2312"/>
      <w:bCs/>
      <w:sz w:val="30"/>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857" w:hanging="864" w:firstLineChars="0"/>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157" w:hanging="1008" w:firstLineChars="0"/>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301" w:hanging="1152" w:firstLineChars="0"/>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445" w:hanging="1296" w:firstLineChars="0"/>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589" w:hanging="1440" w:firstLineChars="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733" w:hanging="1584"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Lines="0" w:afterAutospacing="0"/>
      <w:ind w:left="0" w:leftChars="0"/>
    </w:pPr>
  </w:style>
  <w:style w:type="paragraph" w:customStyle="1" w:styleId="5">
    <w:name w:val="样式1"/>
    <w:basedOn w:val="1"/>
    <w:qFormat/>
    <w:uiPriority w:val="0"/>
    <w:pPr>
      <w:spacing w:afterLines="0" w:line="560" w:lineRule="exact"/>
      <w:ind w:left="0" w:leftChars="0" w:firstLine="420" w:firstLineChars="200"/>
    </w:pPr>
    <w:rPr>
      <w:rFonts w:hint="eastAsia"/>
    </w:rPr>
  </w:style>
  <w:style w:type="character" w:customStyle="1" w:styleId="16">
    <w:name w:val="标题 3 Char2"/>
    <w:basedOn w:val="15"/>
    <w:link w:val="7"/>
    <w:qFormat/>
    <w:uiPriority w:val="0"/>
    <w:rPr>
      <w:rFonts w:ascii="Times New Roman" w:hAnsi="Times New Roman" w:eastAsia="楷体_GB2312"/>
      <w:bCs/>
      <w:kern w:val="2"/>
      <w:sz w:val="3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dc:creator>
  <cp:lastModifiedBy>czsfb</cp:lastModifiedBy>
  <cp:lastPrinted>2024-12-13T04:47:00Z</cp:lastPrinted>
  <dcterms:modified xsi:type="dcterms:W3CDTF">2024-12-13T08:36:10Z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E77107753A624193B58E4FA9DB44D7BA</vt:lpwstr>
  </property>
</Properties>
</file>