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CD8C">
      <w:pPr>
        <w:spacing w:line="590" w:lineRule="exact"/>
        <w:ind w:firstLine="0" w:firstLineChars="0"/>
        <w:rPr>
          <w:rFonts w:hint="default" w:ascii="Times New Roman" w:hAnsi="Times New Roman" w:eastAsia="黑体" w:cs="Times New Roman"/>
          <w:smallCaps w:val="0"/>
          <w:color w:val="auto"/>
          <w:sz w:val="32"/>
        </w:rPr>
      </w:pPr>
      <w:bookmarkStart w:id="0" w:name="_GoBack"/>
      <w:r>
        <w:rPr>
          <w:rFonts w:hint="eastAsia" w:ascii="Times New Roman" w:hAnsi="Times New Roman" w:eastAsia="黑体" w:cs="黑体"/>
          <w:smallCaps w:val="0"/>
          <w:color w:val="auto"/>
          <w:sz w:val="32"/>
          <w:szCs w:val="32"/>
        </w:rPr>
        <w:t>附表</w:t>
      </w:r>
      <w:r>
        <w:rPr>
          <w:rFonts w:hint="eastAsia" w:ascii="Times New Roman" w:hAnsi="Times New Roman" w:eastAsia="黑体" w:cs="黑体"/>
          <w:smallCaps w:val="0"/>
          <w:color w:val="auto"/>
          <w:sz w:val="32"/>
          <w:szCs w:val="32"/>
          <w:lang w:val="en-US" w:eastAsia="zh-CN"/>
        </w:rPr>
        <w:t>14</w:t>
      </w:r>
    </w:p>
    <w:p w14:paraId="10423A83">
      <w:pPr>
        <w:spacing w:beforeLines="0" w:afterLines="0" w:line="360" w:lineRule="auto"/>
        <w:jc w:val="center"/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  <w:lang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</w:rPr>
        <w:t>年母婴保健技术服务机构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  <w:lang w:eastAsia="zh-CN"/>
        </w:rPr>
        <w:t>随机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</w:rPr>
        <w:t>监督抽查工作计划表</w:t>
      </w:r>
    </w:p>
    <w:bookmarkEnd w:id="0"/>
    <w:tbl>
      <w:tblPr>
        <w:tblStyle w:val="4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77"/>
        <w:gridCol w:w="1202"/>
        <w:gridCol w:w="9195"/>
        <w:gridCol w:w="1391"/>
      </w:tblGrid>
      <w:tr w14:paraId="14FE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98CA7F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0185B2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监督检查对象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3624DD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抽检比例</w:t>
            </w:r>
          </w:p>
        </w:tc>
        <w:tc>
          <w:tcPr>
            <w:tcW w:w="9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743498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检查内容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89B6B2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备注</w:t>
            </w:r>
          </w:p>
        </w:tc>
      </w:tr>
      <w:tr w14:paraId="1540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F74B8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3E46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妇幼保健机构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3E2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50%</w:t>
            </w:r>
          </w:p>
        </w:tc>
        <w:tc>
          <w:tcPr>
            <w:tcW w:w="9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E7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1.机构及人员资质情况。开展母婴保健技术服务、人类辅助生殖技术服务、设置人类精子库的机构执业资质和人员执业资格情况。</w:t>
            </w:r>
          </w:p>
          <w:p w14:paraId="42D8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2.法律法规执行情况。机构是否按照批准的业务范围和服务项目执业；人员是否按照批准的服务项目执业；开展人工终止妊娠手术是否进行登记查验；开展孕妇外周血胎儿游离DNA产前筛查与诊断是否规范；开展人类辅助生殖技术是否查验身份证、结婚证；开展产前诊断、人类辅助生殖技术等服务是否符合相关要求；出具出生医学证明是否符合相关规定；相关技术服务是否遵守知情同意的原则；出具医学证明文件和诊断报告是否符合相关规定；病历、记录、档案等医疗文书是否符合相关规定；是否设置禁止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两非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的警示标志；是否依法发布母婴保健技术服务广告。</w:t>
            </w:r>
          </w:p>
          <w:p w14:paraId="37FE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3.制度建立及实施情况。是否建立禁止胎儿性别鉴定的管理制度；是否建立人工终止妊娠登记查验制度；是否建立技术档案管理、转诊、追踪观察制度；是否建立孕产妇死亡、婴儿死亡以及新生儿出生缺陷报告制度；是否具有保证技术服务安全和服务质量的其他管理制度；相关制度实施情况。</w:t>
            </w:r>
          </w:p>
          <w:p w14:paraId="16F1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4.规范应用人类辅助生殖技术检查。是否符合国家生育政策、伦理原则和基本标准；是否遵守临床、实验室等操作规范；是否存在非法采供精、非法采供卵、参与实施代孕、滥用性别鉴定技术等行为；是否存在无相应技术资质开展人类辅助生殖技术的行为。</w:t>
            </w:r>
          </w:p>
          <w:p w14:paraId="6F9A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eastAsia="zh-CN"/>
              </w:rPr>
              <w:t>5.出生医学证明管理检查。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是否建立并执行空白证件管理、人员管理、印章管理、废证管理、信息管理、档案管理、信息安全保密等制度；是否配备专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兼）职工作人员分别负责空白证件管理、证件签发和印章管理，是否能够落实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分离制度；空白证件保管是否符合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两锁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三铁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四防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即门锁、柜锁，铁门、铁栏窗和保险柜，防水、防火、防潮和防盗）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eastAsia="zh-CN"/>
              </w:rPr>
              <w:t>；是否配备人证核验设备，建立并严格落实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eastAsia="zh-CN"/>
              </w:rPr>
              <w:t>刷脸比对</w:t>
            </w:r>
            <w:r>
              <w:rPr>
                <w:rFonts w:hint="eastAsia" w:ascii="Times New Roman" w:hAnsi="Times New Roman" w:cs="Times New Roman"/>
                <w:smallCaps w:val="0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eastAsia="zh-CN"/>
              </w:rPr>
              <w:t>身份核验制度；是否存在伪造和买卖出生医学证明情况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68825D">
            <w:pPr>
              <w:spacing w:beforeLines="0" w:afterLines="0" w:line="360" w:lineRule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</w:p>
          <w:p w14:paraId="39D2AB0E">
            <w:pPr>
              <w:spacing w:beforeLines="0" w:afterLines="0" w:line="360" w:lineRule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</w:p>
          <w:p w14:paraId="069CDB17">
            <w:pPr>
              <w:spacing w:beforeLines="0" w:afterLines="0" w:line="360" w:lineRule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根据各机构业务开展情况，检查内容可合理缺项。</w:t>
            </w:r>
          </w:p>
        </w:tc>
      </w:tr>
      <w:tr w14:paraId="1E99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FDF37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097B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其他医疗、保健机构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8B55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  <w:t>50%</w:t>
            </w:r>
          </w:p>
        </w:tc>
        <w:tc>
          <w:tcPr>
            <w:tcW w:w="9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F7D9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606CC5">
            <w:pPr>
              <w:spacing w:beforeLines="0" w:afterLines="0" w:line="360" w:lineRule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21"/>
              </w:rPr>
            </w:pPr>
          </w:p>
        </w:tc>
      </w:tr>
    </w:tbl>
    <w:p w14:paraId="2AC472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37942"/>
    <w:rsid w:val="6CE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2025-06-20T02:04:12Z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1B03607BEEAB475D84BC6D6024633687_12</vt:lpwstr>
  </property>
  <property fmtid="{D5CDD505-2E9C-101B-9397-08002B2CF9AE}" pid="4" name="KSOTemplateDocerSaveRecord">
    <vt:lpwstr>eyJoZGlkIjoiNDRmNGZlNGJjZGQ3ZThiOWFjZTVjNDRkYTIyNTU4M2UifQ==</vt:lpwstr>
  </property>
</Properties>
</file>