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D2594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7"/>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rPr>
      </w:pPr>
    </w:p>
    <w:p w14:paraId="24B94E2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7"/>
          <w:rFonts w:hint="eastAsia" w:ascii="方正小标宋简体" w:hAnsi="方正小标宋简体" w:eastAsia="方正小标宋简体" w:cs="方正小标宋简体"/>
          <w:b/>
          <w:bCs/>
          <w:i w:val="0"/>
          <w:iCs w:val="0"/>
          <w:caps w:val="0"/>
          <w:color w:val="333333"/>
          <w:spacing w:val="0"/>
          <w:sz w:val="44"/>
          <w:szCs w:val="44"/>
          <w:shd w:val="clear" w:color="auto" w:fill="FFFFFF"/>
        </w:rPr>
      </w:pPr>
      <w:r>
        <w:rPr>
          <w:rStyle w:val="7"/>
          <w:rFonts w:hint="eastAsia" w:ascii="方正小标宋简体" w:hAnsi="方正小标宋简体" w:eastAsia="方正小标宋简体" w:cs="方正小标宋简体"/>
          <w:b w:val="0"/>
          <w:bCs w:val="0"/>
          <w:i w:val="0"/>
          <w:iCs w:val="0"/>
          <w:caps w:val="0"/>
          <w:color w:val="333333"/>
          <w:spacing w:val="0"/>
          <w:sz w:val="44"/>
          <w:szCs w:val="44"/>
          <w:shd w:val="clear" w:color="auto" w:fill="FFFFFF"/>
        </w:rPr>
        <w:t>关于依法规范市场监管领域投诉举报行为持续优化营商环境的暂行规定</w:t>
      </w:r>
    </w:p>
    <w:p w14:paraId="713DC68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Style w:val="7"/>
          <w:rFonts w:hint="eastAsia" w:ascii="仿宋_GB2312" w:hAnsi="仿宋_GB2312" w:eastAsia="仿宋_GB2312" w:cs="仿宋_GB2312"/>
          <w:b/>
          <w:bCs/>
          <w:i w:val="0"/>
          <w:iCs w:val="0"/>
          <w:caps w:val="0"/>
          <w:color w:val="333333"/>
          <w:spacing w:val="0"/>
          <w:sz w:val="32"/>
          <w:szCs w:val="32"/>
          <w:shd w:val="clear" w:color="auto" w:fill="FFFFFF"/>
        </w:rPr>
      </w:pPr>
      <w:r>
        <w:rPr>
          <w:rFonts w:hint="eastAsia" w:ascii="仿宋_GB2312" w:hAnsi="仿宋_GB2312" w:eastAsia="仿宋_GB2312" w:cs="仿宋_GB2312"/>
          <w:sz w:val="32"/>
          <w:szCs w:val="32"/>
          <w:lang w:eastAsia="zh-CN"/>
        </w:rPr>
        <w:t>（征求意见稿）</w:t>
      </w:r>
    </w:p>
    <w:p w14:paraId="385AB7D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default" w:ascii="Segoe UI" w:hAnsi="Segoe UI" w:eastAsia="Segoe UI" w:cs="Segoe UI"/>
          <w:i w:val="0"/>
          <w:iCs w:val="0"/>
          <w:caps w:val="0"/>
          <w:color w:val="333333"/>
          <w:spacing w:val="0"/>
          <w:sz w:val="32"/>
          <w:szCs w:val="32"/>
          <w:shd w:val="clear" w:color="auto" w:fill="FFFFFF"/>
        </w:rPr>
      </w:pPr>
    </w:p>
    <w:p w14:paraId="7B64104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为依法规范市场监管领域投诉举报处置工作，营造良好的消费环境和营商环境</w:t>
      </w:r>
      <w:r>
        <w:rPr>
          <w:rFonts w:hint="eastAsia" w:ascii="仿宋_GB2312" w:hAnsi="仿宋_GB2312" w:eastAsia="仿宋_GB2312" w:cs="仿宋_GB2312"/>
          <w:i w:val="0"/>
          <w:iCs w:val="0"/>
          <w:caps w:val="0"/>
          <w:color w:val="333333"/>
          <w:spacing w:val="0"/>
          <w:sz w:val="32"/>
          <w:szCs w:val="32"/>
          <w:shd w:val="clear" w:color="auto" w:fill="FFFFFF"/>
          <w:lang w:eastAsia="zh-CN"/>
        </w:rPr>
        <w:t>，</w:t>
      </w:r>
      <w:bookmarkStart w:id="0" w:name="_GoBack"/>
      <w:bookmarkEnd w:id="0"/>
      <w:r>
        <w:rPr>
          <w:rFonts w:hint="eastAsia" w:ascii="仿宋_GB2312" w:hAnsi="仿宋_GB2312" w:eastAsia="仿宋_GB2312" w:cs="仿宋_GB2312"/>
          <w:i w:val="0"/>
          <w:iCs w:val="0"/>
          <w:caps w:val="0"/>
          <w:color w:val="333333"/>
          <w:spacing w:val="0"/>
          <w:sz w:val="32"/>
          <w:szCs w:val="32"/>
          <w:shd w:val="clear" w:color="auto" w:fill="FFFFFF"/>
        </w:rPr>
        <w:t>切实保障消费者和经营者合法权益，促进社会诚信建设，根据《中华人民共和国消费者权益保护法》《中华人民共和国行政处罚法》《中华人民共和国消费者权益保护法实施条例》《优化营商环境条例》《市场监督管理投诉举报处理暂行办法》等法律法规规章</w:t>
      </w:r>
      <w:r>
        <w:rPr>
          <w:rFonts w:hint="eastAsia" w:ascii="仿宋_GB2312" w:hAnsi="仿宋_GB2312" w:eastAsia="仿宋_GB2312" w:cs="仿宋_GB2312"/>
          <w:i w:val="0"/>
          <w:iCs w:val="0"/>
          <w:caps w:val="0"/>
          <w:color w:val="333333"/>
          <w:spacing w:val="0"/>
          <w:sz w:val="32"/>
          <w:szCs w:val="32"/>
          <w:shd w:val="clear" w:color="auto" w:fill="FFFFFF"/>
          <w:lang w:eastAsia="zh-CN"/>
        </w:rPr>
        <w:t>和</w:t>
      </w:r>
      <w:r>
        <w:rPr>
          <w:rFonts w:hint="eastAsia" w:ascii="仿宋_GB2312" w:hAnsi="仿宋_GB2312" w:eastAsia="仿宋_GB2312" w:cs="仿宋_GB2312"/>
          <w:i w:val="0"/>
          <w:iCs w:val="0"/>
          <w:caps w:val="0"/>
          <w:color w:val="333333"/>
          <w:spacing w:val="0"/>
          <w:sz w:val="32"/>
          <w:szCs w:val="32"/>
          <w:shd w:val="clear" w:color="auto" w:fill="FFFFFF"/>
        </w:rPr>
        <w:t>《中共中央 国务院关于深化改革加强食品安全工作的意见》《国务院关于加强和规范事中事后监管的指导意见》《国务院办公厅关于促进平台经济规范健康发展的指导意见》等文件精神，结合我市实际，制定本规定。</w:t>
      </w:r>
    </w:p>
    <w:p w14:paraId="1C50925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center"/>
        <w:rPr>
          <w:rFonts w:hint="eastAsia" w:ascii="黑体" w:hAnsi="黑体" w:eastAsia="黑体" w:cs="黑体"/>
          <w:b/>
          <w:bCs/>
          <w:i w:val="0"/>
          <w:iCs w:val="0"/>
          <w:caps w:val="0"/>
          <w:color w:val="333333"/>
          <w:spacing w:val="0"/>
          <w:sz w:val="32"/>
          <w:szCs w:val="32"/>
          <w:shd w:val="clear" w:color="auto" w:fill="FFFFFF"/>
        </w:rPr>
      </w:pPr>
    </w:p>
    <w:p w14:paraId="09D2C2E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eastAsia" w:ascii="黑体" w:hAnsi="黑体" w:eastAsia="黑体" w:cs="黑体"/>
          <w:b/>
          <w:bCs/>
          <w:sz w:val="32"/>
          <w:szCs w:val="32"/>
        </w:rPr>
      </w:pPr>
      <w:r>
        <w:rPr>
          <w:rFonts w:hint="eastAsia" w:ascii="黑体" w:hAnsi="黑体" w:eastAsia="黑体" w:cs="黑体"/>
          <w:b/>
          <w:bCs/>
          <w:i w:val="0"/>
          <w:iCs w:val="0"/>
          <w:caps w:val="0"/>
          <w:color w:val="333333"/>
          <w:spacing w:val="0"/>
          <w:sz w:val="32"/>
          <w:szCs w:val="32"/>
          <w:shd w:val="clear" w:color="auto" w:fill="FFFFFF"/>
        </w:rPr>
        <w:t>第一章  总  则</w:t>
      </w:r>
    </w:p>
    <w:p w14:paraId="215D183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rPr>
          <w:rFonts w:hint="eastAsia" w:ascii="仿宋_GB2312" w:hAnsi="仿宋_GB2312" w:eastAsia="仿宋_GB2312" w:cs="仿宋_GB2312"/>
          <w:i w:val="0"/>
          <w:iCs w:val="0"/>
          <w:caps w:val="0"/>
          <w:color w:val="333333"/>
          <w:spacing w:val="0"/>
          <w:sz w:val="32"/>
          <w:szCs w:val="32"/>
          <w:shd w:val="clear" w:color="auto" w:fill="FFFFFF"/>
        </w:rPr>
      </w:pPr>
      <w:r>
        <w:rPr>
          <w:rStyle w:val="7"/>
          <w:rFonts w:hint="eastAsia" w:ascii="黑体" w:hAnsi="黑体" w:eastAsia="黑体" w:cs="黑体"/>
          <w:b/>
          <w:bCs/>
          <w:i w:val="0"/>
          <w:iCs w:val="0"/>
          <w:caps w:val="0"/>
          <w:color w:val="333333"/>
          <w:spacing w:val="0"/>
          <w:sz w:val="32"/>
          <w:szCs w:val="32"/>
          <w:shd w:val="clear" w:color="auto" w:fill="FFFFFF"/>
        </w:rPr>
        <w:t>第一条</w:t>
      </w:r>
      <w:r>
        <w:rPr>
          <w:rStyle w:val="7"/>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本规定所称投诉，是指消费者为生活消费需要购买、使用商品或者接受服务，与经营者发生消费者权益争议，请求市场监督管理部门解决该争议的行为。</w:t>
      </w:r>
    </w:p>
    <w:p w14:paraId="0FF5398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lang w:val="en-US" w:eastAsia="zh-CN"/>
        </w:rPr>
        <w:t>本规定所称经营者，是指从事商品生产、经营或者提供服务的自然人、法人和其他组织。</w:t>
      </w:r>
    </w:p>
    <w:p w14:paraId="5DED77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投诉应当提供投诉人真实身份信息，可以联系的投诉人电话号码、通讯地址等。有明确的被投诉人的名称（姓名）及地址、具体的投诉请求和事实依据，以及与经营者发生消费者权益争议的佐证材料。</w:t>
      </w:r>
    </w:p>
    <w:p w14:paraId="6FADC03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委托他人代为投诉的，还应当同时提供授权委托书原件以及受托人身份证明。</w:t>
      </w:r>
    </w:p>
    <w:p w14:paraId="46A5089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rPr>
          <w:rFonts w:hint="eastAsia" w:ascii="仿宋_GB2312" w:hAnsi="仿宋_GB2312" w:eastAsia="仿宋_GB2312" w:cs="仿宋_GB2312"/>
          <w:sz w:val="32"/>
          <w:szCs w:val="32"/>
        </w:rPr>
      </w:pPr>
      <w:r>
        <w:rPr>
          <w:rStyle w:val="7"/>
          <w:rFonts w:hint="eastAsia" w:ascii="黑体" w:hAnsi="黑体" w:eastAsia="黑体" w:cs="黑体"/>
          <w:b/>
          <w:bCs/>
          <w:i w:val="0"/>
          <w:iCs w:val="0"/>
          <w:caps w:val="0"/>
          <w:color w:val="333333"/>
          <w:spacing w:val="0"/>
          <w:sz w:val="32"/>
          <w:szCs w:val="32"/>
          <w:shd w:val="clear" w:color="auto" w:fill="FFFFFF"/>
        </w:rPr>
        <w:t>第二条</w:t>
      </w:r>
      <w:r>
        <w:rPr>
          <w:rStyle w:val="7"/>
          <w:rFonts w:hint="eastAsia" w:ascii="仿宋_GB2312" w:hAnsi="仿宋_GB2312" w:eastAsia="仿宋_GB2312" w:cs="仿宋_GB2312"/>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本规定所称举报，是指自然人、法人或者其他组织向市场监督管理部门反映经营者涉嫌违反市场监督管理法律、法规、规章线索的行为。</w:t>
      </w:r>
    </w:p>
    <w:p w14:paraId="274790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举报人应当提供涉嫌违反市场监督管理法律、法规、规章的具体线索，对举报内容真实性负责。实名举报的还应当提供举报人真实身份信息，可以联系举报人的电话号码、通讯地址等。</w:t>
      </w:r>
    </w:p>
    <w:p w14:paraId="42A74F5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rPr>
      </w:pPr>
      <w:r>
        <w:rPr>
          <w:rStyle w:val="7"/>
          <w:rFonts w:hint="eastAsia" w:ascii="黑体" w:hAnsi="黑体" w:eastAsia="黑体" w:cs="黑体"/>
          <w:b/>
          <w:bCs/>
          <w:i w:val="0"/>
          <w:iCs w:val="0"/>
          <w:caps w:val="0"/>
          <w:color w:val="333333"/>
          <w:spacing w:val="0"/>
          <w:sz w:val="32"/>
          <w:szCs w:val="32"/>
          <w:shd w:val="clear" w:color="auto" w:fill="FFFFFF"/>
        </w:rPr>
        <w:t>第三条</w:t>
      </w:r>
      <w:r>
        <w:rPr>
          <w:rStyle w:val="7"/>
          <w:rFonts w:hint="eastAsia" w:ascii="仿宋_GB2312" w:hAnsi="仿宋_GB2312" w:eastAsia="仿宋_GB2312" w:cs="仿宋_GB2312"/>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处理投诉举报，应当遵循公平、高效的原则，依法履职，规范答复，做到适用依据正确、程序合法、证据充分、定性准确、裁量合理。</w:t>
      </w:r>
    </w:p>
    <w:p w14:paraId="1D088C0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依法规范牟利性投诉举报和索赔行为，严厉打击以投诉举报为名实施的敲诈勒索行为，维护良好营商环境和经营者合法权益。</w:t>
      </w:r>
    </w:p>
    <w:p w14:paraId="2F6D55D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rPr>
      </w:pPr>
      <w:r>
        <w:rPr>
          <w:rStyle w:val="7"/>
          <w:rFonts w:hint="eastAsia" w:ascii="黑体" w:hAnsi="黑体" w:eastAsia="黑体" w:cs="黑体"/>
          <w:b/>
          <w:bCs/>
          <w:i w:val="0"/>
          <w:iCs w:val="0"/>
          <w:caps w:val="0"/>
          <w:color w:val="333333"/>
          <w:spacing w:val="0"/>
          <w:sz w:val="32"/>
          <w:szCs w:val="32"/>
          <w:shd w:val="clear" w:color="auto" w:fill="FFFFFF"/>
        </w:rPr>
        <w:t>第四条</w:t>
      </w:r>
      <w:r>
        <w:rPr>
          <w:rStyle w:val="7"/>
          <w:rFonts w:hint="eastAsia" w:ascii="仿宋_GB2312" w:hAnsi="仿宋_GB2312" w:eastAsia="仿宋_GB2312" w:cs="仿宋_GB2312"/>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投诉、举报应当遵守法律法规规章和规范性文件的相关规定，不得利用投诉、举报牟取不正当利益，侵害经营者的合法权益，扰乱市场经济秩序。</w:t>
      </w:r>
    </w:p>
    <w:p w14:paraId="4326F4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市场监督管理部门要从严审查涉嫌利用投诉举报牟取不正当利益、侵害经营者合法权益、扰乱市场经济秩序的行为。对商品标签标识、说明书、宣传材料等存在瑕疵但不影响商品质量且不会对消费者造成误导的惩罚性赔偿诉求可不予受理，举报上述行为的可依法不予立案。</w:t>
      </w:r>
    </w:p>
    <w:p w14:paraId="6FBFDC8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left"/>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发现通过夹带、调包、造假、篡改商品生产日期、捏造事实等方式骗取经营者赔偿，或者以投诉、举报相威胁，进行敲诈勒索的，经营者可以向公安机关报案。市场监督管理部门在投诉、举报处理中发现上述情况的，应当依法及时移送公安机关处理，涉嫌犯罪的，依法追究刑事责任。</w:t>
      </w:r>
    </w:p>
    <w:p w14:paraId="519CEE1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i w:val="0"/>
          <w:iCs w:val="0"/>
          <w:caps w:val="0"/>
          <w:color w:val="333333"/>
          <w:spacing w:val="0"/>
          <w:sz w:val="32"/>
          <w:szCs w:val="32"/>
          <w:shd w:val="clear" w:color="auto" w:fill="FFFFFF"/>
        </w:rPr>
      </w:pPr>
    </w:p>
    <w:p w14:paraId="7FF64BBE">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黑体" w:hAnsi="黑体" w:eastAsia="黑体" w:cs="黑体"/>
          <w:b/>
          <w:bCs/>
          <w:i w:val="0"/>
          <w:iCs w:val="0"/>
          <w:caps w:val="0"/>
          <w:color w:val="333333"/>
          <w:spacing w:val="0"/>
          <w:sz w:val="32"/>
          <w:szCs w:val="32"/>
          <w:shd w:val="clear" w:color="auto" w:fill="FFFFFF"/>
        </w:rPr>
      </w:pPr>
      <w:r>
        <w:rPr>
          <w:rFonts w:hint="eastAsia" w:ascii="黑体" w:hAnsi="黑体" w:eastAsia="黑体" w:cs="黑体"/>
          <w:b/>
          <w:bCs/>
          <w:i w:val="0"/>
          <w:iCs w:val="0"/>
          <w:caps w:val="0"/>
          <w:color w:val="333333"/>
          <w:spacing w:val="0"/>
          <w:sz w:val="32"/>
          <w:szCs w:val="32"/>
          <w:shd w:val="clear" w:color="auto" w:fill="FFFFFF"/>
        </w:rPr>
        <w:t>投诉有关规定</w:t>
      </w:r>
    </w:p>
    <w:p w14:paraId="17BE82E0">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rPr>
          <w:rFonts w:hint="eastAsia" w:ascii="仿宋_GB2312" w:hAnsi="仿宋_GB2312" w:eastAsia="仿宋_GB2312" w:cs="仿宋_GB2312"/>
          <w:sz w:val="32"/>
          <w:szCs w:val="32"/>
        </w:rPr>
      </w:pPr>
      <w:r>
        <w:rPr>
          <w:rStyle w:val="7"/>
          <w:rFonts w:hint="eastAsia" w:ascii="黑体" w:hAnsi="黑体" w:eastAsia="黑体" w:cs="黑体"/>
          <w:b/>
          <w:bCs/>
          <w:i w:val="0"/>
          <w:iCs w:val="0"/>
          <w:caps w:val="0"/>
          <w:color w:val="333333"/>
          <w:spacing w:val="0"/>
          <w:sz w:val="32"/>
          <w:szCs w:val="32"/>
          <w:shd w:val="clear" w:color="auto" w:fill="FFFFFF"/>
        </w:rPr>
        <w:t>第五条</w:t>
      </w: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消费者为生活消费需要购买、使用商品或者接受服务，与经营者发生消费者权益争议，可依法向市场监督管理部门投诉，市场监督管理部门依法做好投诉处置工作。</w:t>
      </w:r>
    </w:p>
    <w:p w14:paraId="3057CCA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rPr>
      </w:pPr>
      <w:r>
        <w:rPr>
          <w:rStyle w:val="7"/>
          <w:rFonts w:hint="eastAsia" w:ascii="黑体" w:hAnsi="黑体" w:eastAsia="黑体" w:cs="黑体"/>
          <w:b/>
          <w:bCs/>
          <w:i w:val="0"/>
          <w:iCs w:val="0"/>
          <w:caps w:val="0"/>
          <w:color w:val="333333"/>
          <w:spacing w:val="0"/>
          <w:sz w:val="32"/>
          <w:szCs w:val="32"/>
          <w:shd w:val="clear" w:color="auto" w:fill="FFFFFF"/>
        </w:rPr>
        <w:t>第</w:t>
      </w:r>
      <w:r>
        <w:rPr>
          <w:rStyle w:val="7"/>
          <w:rFonts w:hint="eastAsia" w:ascii="黑体" w:hAnsi="黑体" w:eastAsia="黑体" w:cs="黑体"/>
          <w:b/>
          <w:bCs/>
          <w:i w:val="0"/>
          <w:iCs w:val="0"/>
          <w:caps w:val="0"/>
          <w:color w:val="333333"/>
          <w:spacing w:val="0"/>
          <w:sz w:val="32"/>
          <w:szCs w:val="32"/>
          <w:shd w:val="clear" w:color="auto" w:fill="FFFFFF"/>
          <w:lang w:eastAsia="zh-CN"/>
        </w:rPr>
        <w:t>六</w:t>
      </w:r>
      <w:r>
        <w:rPr>
          <w:rStyle w:val="7"/>
          <w:rFonts w:hint="eastAsia" w:ascii="黑体" w:hAnsi="黑体" w:eastAsia="黑体" w:cs="黑体"/>
          <w:b/>
          <w:bCs/>
          <w:i w:val="0"/>
          <w:iCs w:val="0"/>
          <w:caps w:val="0"/>
          <w:color w:val="333333"/>
          <w:spacing w:val="0"/>
          <w:sz w:val="32"/>
          <w:szCs w:val="32"/>
          <w:shd w:val="clear" w:color="auto" w:fill="FFFFFF"/>
        </w:rPr>
        <w:t>条</w:t>
      </w: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投诉有以下情形之一的，市场监督管理部门不予受理：</w:t>
      </w:r>
    </w:p>
    <w:p w14:paraId="099EB54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（一）投诉事项不属于市场监督管理部门职责，或者本行政机关不具有处理权限的；</w:t>
      </w:r>
    </w:p>
    <w:p w14:paraId="06C271B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（二）法院、仲裁机构、市场监督管理部门或者其他行政机关、消费者协会或者依法成立的其他调解组织已经受理或者处理过同一消费者权益争议的；</w:t>
      </w:r>
    </w:p>
    <w:p w14:paraId="7373221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（三）不能提供第一条第</w:t>
      </w:r>
      <w:r>
        <w:rPr>
          <w:rFonts w:hint="eastAsia" w:ascii="仿宋_GB2312" w:hAnsi="仿宋_GB2312" w:eastAsia="仿宋_GB2312" w:cs="仿宋_GB2312"/>
          <w:i w:val="0"/>
          <w:iCs w:val="0"/>
          <w:caps w:val="0"/>
          <w:color w:val="333333"/>
          <w:spacing w:val="0"/>
          <w:sz w:val="32"/>
          <w:szCs w:val="32"/>
          <w:shd w:val="clear" w:color="auto" w:fill="FFFFFF"/>
          <w:lang w:eastAsia="zh-CN"/>
        </w:rPr>
        <w:t>三</w:t>
      </w:r>
      <w:r>
        <w:rPr>
          <w:rFonts w:hint="eastAsia" w:ascii="仿宋_GB2312" w:hAnsi="仿宋_GB2312" w:eastAsia="仿宋_GB2312" w:cs="仿宋_GB2312"/>
          <w:i w:val="0"/>
          <w:iCs w:val="0"/>
          <w:caps w:val="0"/>
          <w:color w:val="333333"/>
          <w:spacing w:val="0"/>
          <w:sz w:val="32"/>
          <w:szCs w:val="32"/>
          <w:shd w:val="clear" w:color="auto" w:fill="FFFFFF"/>
        </w:rPr>
        <w:t>款、第</w:t>
      </w:r>
      <w:r>
        <w:rPr>
          <w:rFonts w:hint="eastAsia" w:ascii="仿宋_GB2312" w:hAnsi="仿宋_GB2312" w:eastAsia="仿宋_GB2312" w:cs="仿宋_GB2312"/>
          <w:i w:val="0"/>
          <w:iCs w:val="0"/>
          <w:caps w:val="0"/>
          <w:color w:val="333333"/>
          <w:spacing w:val="0"/>
          <w:sz w:val="32"/>
          <w:szCs w:val="32"/>
          <w:shd w:val="clear" w:color="auto" w:fill="FFFFFF"/>
          <w:lang w:eastAsia="zh-CN"/>
        </w:rPr>
        <w:t>四</w:t>
      </w:r>
      <w:r>
        <w:rPr>
          <w:rFonts w:hint="eastAsia" w:ascii="仿宋_GB2312" w:hAnsi="仿宋_GB2312" w:eastAsia="仿宋_GB2312" w:cs="仿宋_GB2312"/>
          <w:i w:val="0"/>
          <w:iCs w:val="0"/>
          <w:caps w:val="0"/>
          <w:color w:val="333333"/>
          <w:spacing w:val="0"/>
          <w:sz w:val="32"/>
          <w:szCs w:val="32"/>
          <w:shd w:val="clear" w:color="auto" w:fill="FFFFFF"/>
        </w:rPr>
        <w:t>款相关信息和材料的；</w:t>
      </w:r>
    </w:p>
    <w:p w14:paraId="2F708D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（四）不是为生活消费需要购买、使用商品或者接受服务的；</w:t>
      </w:r>
    </w:p>
    <w:p w14:paraId="2BC2FF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（五）无法提供消费关系证明或者其他相关证据材料，无法证明与被投诉人之间存在消费者权益争议事实的；</w:t>
      </w:r>
    </w:p>
    <w:p w14:paraId="5380A9C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（六）除法律另有规定外，投诉人知道或者应当知道自己的权益受到被投诉人侵害之日起超过三年的；</w:t>
      </w:r>
    </w:p>
    <w:p w14:paraId="2DE115A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（七）法律、法规、规章规定不予受理的其他情形。</w:t>
      </w:r>
    </w:p>
    <w:p w14:paraId="371CD7B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rPr>
      </w:pPr>
      <w:r>
        <w:rPr>
          <w:rStyle w:val="7"/>
          <w:rFonts w:hint="eastAsia" w:ascii="黑体" w:hAnsi="黑体" w:eastAsia="黑体" w:cs="黑体"/>
          <w:b/>
          <w:bCs/>
          <w:i w:val="0"/>
          <w:iCs w:val="0"/>
          <w:caps w:val="0"/>
          <w:color w:val="333333"/>
          <w:spacing w:val="0"/>
          <w:sz w:val="32"/>
          <w:szCs w:val="32"/>
          <w:shd w:val="clear" w:color="auto" w:fill="FFFFFF"/>
        </w:rPr>
        <w:t>第</w:t>
      </w:r>
      <w:r>
        <w:rPr>
          <w:rStyle w:val="7"/>
          <w:rFonts w:hint="eastAsia" w:ascii="黑体" w:hAnsi="黑体" w:eastAsia="黑体" w:cs="黑体"/>
          <w:b/>
          <w:bCs/>
          <w:i w:val="0"/>
          <w:iCs w:val="0"/>
          <w:caps w:val="0"/>
          <w:color w:val="333333"/>
          <w:spacing w:val="0"/>
          <w:sz w:val="32"/>
          <w:szCs w:val="32"/>
          <w:shd w:val="clear" w:color="auto" w:fill="FFFFFF"/>
          <w:lang w:eastAsia="zh-CN"/>
        </w:rPr>
        <w:t>七</w:t>
      </w:r>
      <w:r>
        <w:rPr>
          <w:rStyle w:val="7"/>
          <w:rFonts w:hint="eastAsia" w:ascii="黑体" w:hAnsi="黑体" w:eastAsia="黑体" w:cs="黑体"/>
          <w:b/>
          <w:bCs/>
          <w:i w:val="0"/>
          <w:iCs w:val="0"/>
          <w:caps w:val="0"/>
          <w:color w:val="333333"/>
          <w:spacing w:val="0"/>
          <w:sz w:val="32"/>
          <w:szCs w:val="32"/>
          <w:shd w:val="clear" w:color="auto" w:fill="FFFFFF"/>
        </w:rPr>
        <w:t>条</w:t>
      </w:r>
      <w:r>
        <w:rPr>
          <w:rFonts w:hint="eastAsia" w:ascii="仿宋_GB2312" w:hAnsi="仿宋_GB2312" w:eastAsia="仿宋_GB2312" w:cs="仿宋_GB2312"/>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综合考虑投诉人的身份、投诉目的、购买行为、投诉数量，以及购买商品或服务的数量、频次是否明显超出生活消费需求，是否以牟利为目的、频繁通过重复维权、行政复议、行政诉讼、信访、申请政府信息公开、纪检监察检举控告等形式浪费行政资源、司法资源等因素，存在以下情形的，一般可以认定为“不是为生活消费需要购买、使用商品或者接受服务”：</w:t>
      </w:r>
    </w:p>
    <w:p w14:paraId="34951DFA">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购买、使用商品或者接受服务消费数量或者次数明显超出合理生活消费，不合常理的跨地域购买商品，特别是同一投诉人短时间内向同行业经营者反复购买相同、相似商品或服务发起3件以上（含本数）的投诉或者3人以上（含本数）短时间内向同一经营者反复购买相同、相似商品或服务，并以此为标的物分别提起投诉的；</w:t>
      </w:r>
    </w:p>
    <w:p w14:paraId="186856DB">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对同类商品或服务进行大量频繁投诉，且投诉内容显著专业化，呈现重复性、格式化特点的；</w:t>
      </w:r>
    </w:p>
    <w:p w14:paraId="61956658">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投诉人以相同或相似商品为标的物多次提起投诉、信访、信息公开、行政复议和行政诉讼的；</w:t>
      </w:r>
    </w:p>
    <w:p w14:paraId="3D568398">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知道或者应当知道商品或者服务存在质量、标签等问题仍然购买商品或者接受服务，以提起投诉、向媒体曝光等方式要挟经营者，以获得惩罚性赔偿为目的的；</w:t>
      </w:r>
    </w:p>
    <w:p w14:paraId="66D430FE">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通过私藏食品、私放过期食品、伪造或者抹去标签内容等方式恶意制造企业违法生产经营食品、药品虚假事实，恶意索赔，敲诈勒索的；</w:t>
      </w:r>
    </w:p>
    <w:p w14:paraId="01E59EC5">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通过夹带、调包、造假、篡改商品生产日期、捏造事实等方式恶意制造或虚构消费者权益争议事实的，胁迫或者变相胁迫经营者的；</w:t>
      </w:r>
    </w:p>
    <w:p w14:paraId="28ABD735">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利用信息网络威胁、要挟他人，索取公私财物，或者多次实施上述行为的；</w:t>
      </w:r>
    </w:p>
    <w:p w14:paraId="43800A95">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不配合核实验证身份信息，且无法提供消费关系证明和其他相关证据的；</w:t>
      </w:r>
    </w:p>
    <w:p w14:paraId="61AD6429">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投诉人冒用他人名义进行投诉的；</w:t>
      </w:r>
      <w:r>
        <w:rPr>
          <w:rFonts w:hint="eastAsia" w:ascii="仿宋_GB2312" w:hAnsi="仿宋_GB2312" w:eastAsia="仿宋_GB2312" w:cs="仿宋_GB2312"/>
          <w:i w:val="0"/>
          <w:iCs w:val="0"/>
          <w:caps w:val="0"/>
          <w:color w:val="333333"/>
          <w:spacing w:val="0"/>
          <w:sz w:val="32"/>
          <w:szCs w:val="32"/>
          <w:shd w:val="clear" w:color="auto" w:fill="FFFFFF"/>
          <w:lang w:eastAsia="zh-CN"/>
        </w:rPr>
        <w:t>或者</w:t>
      </w:r>
      <w:r>
        <w:rPr>
          <w:rFonts w:hint="eastAsia" w:ascii="仿宋_GB2312" w:hAnsi="仿宋_GB2312" w:eastAsia="仿宋_GB2312" w:cs="仿宋_GB2312"/>
          <w:i w:val="0"/>
          <w:iCs w:val="0"/>
          <w:caps w:val="0"/>
          <w:color w:val="333333"/>
          <w:spacing w:val="0"/>
          <w:sz w:val="32"/>
          <w:szCs w:val="32"/>
          <w:shd w:val="clear" w:color="auto" w:fill="FFFFFF"/>
        </w:rPr>
        <w:t>不同投诉人使用同一电话号码或同一通讯地址多次购买商品或者接受服务进行投诉的；</w:t>
      </w:r>
    </w:p>
    <w:p w14:paraId="451DDEF2">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投诉人恶意制造经营者侵权的虚假事实或者虚构消费者权益争议事实的；</w:t>
      </w:r>
    </w:p>
    <w:p w14:paraId="1C2B6B10">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未因购买商品或者接受服务受到人身、财产权益的损害，仅以网页、商品或者服务的广告宣传、标签标识等存在轻微违法为由要求经营者赔偿的；</w:t>
      </w:r>
    </w:p>
    <w:p w14:paraId="4C6EA1D9">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其他以牟利为目的，不属于为生活消费需要购买使用商品或接受服务的情形。</w:t>
      </w:r>
    </w:p>
    <w:p w14:paraId="28CFCE7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符合前款所述情形之一的，可以认定属于《市场监督管理投诉举报处理暂行办法》第十五条规定不予受理的情形，做出不予受理决定，并将不予受理决定于收到投诉之日起7个工作日内告知投诉人。对不予受理的投诉应当一并告知投诉人不予受理的理由和其他解决争议的途径。投诉已受理的，可终止调解，并自作出终止调解决定之日起7个工作日内告知投诉人和被投诉人。法律、法规、规章和上级规范性文件另有规定的，按规定执行。</w:t>
      </w:r>
    </w:p>
    <w:p w14:paraId="2F59F62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rPr>
      </w:pPr>
      <w:r>
        <w:rPr>
          <w:rStyle w:val="7"/>
          <w:rFonts w:hint="eastAsia" w:ascii="黑体" w:hAnsi="黑体" w:eastAsia="黑体" w:cs="黑体"/>
          <w:b/>
          <w:bCs/>
          <w:i w:val="0"/>
          <w:iCs w:val="0"/>
          <w:caps w:val="0"/>
          <w:color w:val="333333"/>
          <w:spacing w:val="0"/>
          <w:sz w:val="32"/>
          <w:szCs w:val="32"/>
          <w:shd w:val="clear" w:color="auto" w:fill="FFFFFF"/>
        </w:rPr>
        <w:t>第</w:t>
      </w:r>
      <w:r>
        <w:rPr>
          <w:rStyle w:val="7"/>
          <w:rFonts w:hint="eastAsia" w:ascii="黑体" w:hAnsi="黑体" w:eastAsia="黑体" w:cs="黑体"/>
          <w:b/>
          <w:bCs/>
          <w:i w:val="0"/>
          <w:iCs w:val="0"/>
          <w:caps w:val="0"/>
          <w:color w:val="333333"/>
          <w:spacing w:val="0"/>
          <w:sz w:val="32"/>
          <w:szCs w:val="32"/>
          <w:shd w:val="clear" w:color="auto" w:fill="FFFFFF"/>
          <w:lang w:eastAsia="zh-CN"/>
        </w:rPr>
        <w:t>八</w:t>
      </w:r>
      <w:r>
        <w:rPr>
          <w:rStyle w:val="7"/>
          <w:rFonts w:hint="eastAsia" w:ascii="黑体" w:hAnsi="黑体" w:eastAsia="黑体" w:cs="黑体"/>
          <w:b/>
          <w:bCs/>
          <w:i w:val="0"/>
          <w:iCs w:val="0"/>
          <w:caps w:val="0"/>
          <w:color w:val="333333"/>
          <w:spacing w:val="0"/>
          <w:sz w:val="32"/>
          <w:szCs w:val="32"/>
          <w:shd w:val="clear" w:color="auto" w:fill="FFFFFF"/>
        </w:rPr>
        <w:t>条</w:t>
      </w:r>
      <w:r>
        <w:rPr>
          <w:rStyle w:val="7"/>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在处理投诉中发现涉嫌违反市场监督管理法律</w:t>
      </w:r>
      <w:r>
        <w:rPr>
          <w:rFonts w:hint="eastAsia" w:ascii="仿宋_GB2312" w:hAnsi="仿宋_GB2312" w:eastAsia="仿宋_GB2312" w:cs="仿宋_GB2312"/>
          <w:i w:val="0"/>
          <w:iCs w:val="0"/>
          <w:caps w:val="0"/>
          <w:color w:val="333333"/>
          <w:spacing w:val="0"/>
          <w:sz w:val="32"/>
          <w:szCs w:val="32"/>
          <w:shd w:val="clear" w:color="auto" w:fill="FFFFFF"/>
          <w:lang w:eastAsia="zh-CN"/>
        </w:rPr>
        <w:t>、</w:t>
      </w:r>
      <w:r>
        <w:rPr>
          <w:rFonts w:hint="eastAsia" w:ascii="仿宋_GB2312" w:hAnsi="仿宋_GB2312" w:eastAsia="仿宋_GB2312" w:cs="仿宋_GB2312"/>
          <w:i w:val="0"/>
          <w:iCs w:val="0"/>
          <w:caps w:val="0"/>
          <w:color w:val="333333"/>
          <w:spacing w:val="0"/>
          <w:sz w:val="32"/>
          <w:szCs w:val="32"/>
          <w:shd w:val="clear" w:color="auto" w:fill="FFFFFF"/>
        </w:rPr>
        <w:t>法规、规章的线索，市场监督管理部门应当依法予以核查处理。</w:t>
      </w:r>
    </w:p>
    <w:p w14:paraId="2B68E1E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rPr>
      </w:pPr>
      <w:r>
        <w:rPr>
          <w:rStyle w:val="7"/>
          <w:rFonts w:hint="eastAsia" w:ascii="黑体" w:hAnsi="黑体" w:eastAsia="黑体" w:cs="黑体"/>
          <w:b/>
          <w:bCs/>
          <w:i w:val="0"/>
          <w:iCs w:val="0"/>
          <w:caps w:val="0"/>
          <w:color w:val="333333"/>
          <w:spacing w:val="0"/>
          <w:sz w:val="32"/>
          <w:szCs w:val="32"/>
          <w:shd w:val="clear" w:color="auto" w:fill="FFFFFF"/>
        </w:rPr>
        <w:t>第</w:t>
      </w:r>
      <w:r>
        <w:rPr>
          <w:rStyle w:val="7"/>
          <w:rFonts w:hint="eastAsia" w:ascii="黑体" w:hAnsi="黑体" w:eastAsia="黑体" w:cs="黑体"/>
          <w:b/>
          <w:bCs/>
          <w:i w:val="0"/>
          <w:iCs w:val="0"/>
          <w:caps w:val="0"/>
          <w:color w:val="333333"/>
          <w:spacing w:val="0"/>
          <w:sz w:val="32"/>
          <w:szCs w:val="32"/>
          <w:shd w:val="clear" w:color="auto" w:fill="FFFFFF"/>
          <w:lang w:eastAsia="zh-CN"/>
        </w:rPr>
        <w:t>九</w:t>
      </w:r>
      <w:r>
        <w:rPr>
          <w:rStyle w:val="7"/>
          <w:rFonts w:hint="eastAsia" w:ascii="黑体" w:hAnsi="黑体" w:eastAsia="黑体" w:cs="黑体"/>
          <w:b/>
          <w:bCs/>
          <w:i w:val="0"/>
          <w:iCs w:val="0"/>
          <w:caps w:val="0"/>
          <w:color w:val="333333"/>
          <w:spacing w:val="0"/>
          <w:sz w:val="32"/>
          <w:szCs w:val="32"/>
          <w:shd w:val="clear" w:color="auto" w:fill="FFFFFF"/>
        </w:rPr>
        <w:t>条</w:t>
      </w:r>
      <w:r>
        <w:rPr>
          <w:rStyle w:val="7"/>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严格按照《市场监督管理投诉举报处理暂行办法》关于投诉受理条件、现场调解、非现场调解、终止调解等相关规定，对牟利性投诉事项依法把好受理关口，强化程序意识，避免因程序瑕疵而引起不必要的行政复议和行政诉讼等。</w:t>
      </w:r>
    </w:p>
    <w:p w14:paraId="60C81C3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center"/>
        <w:rPr>
          <w:rFonts w:hint="eastAsia" w:ascii="黑体" w:hAnsi="黑体" w:eastAsia="黑体" w:cs="黑体"/>
          <w:b/>
          <w:bCs/>
          <w:i w:val="0"/>
          <w:iCs w:val="0"/>
          <w:caps w:val="0"/>
          <w:color w:val="333333"/>
          <w:spacing w:val="0"/>
          <w:sz w:val="32"/>
          <w:szCs w:val="32"/>
          <w:shd w:val="clear" w:color="auto" w:fill="FFFFFF"/>
        </w:rPr>
      </w:pPr>
    </w:p>
    <w:p w14:paraId="65FD1A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rFonts w:hint="eastAsia" w:ascii="黑体" w:hAnsi="黑体" w:eastAsia="黑体" w:cs="黑体"/>
          <w:b/>
          <w:bCs/>
          <w:sz w:val="32"/>
          <w:szCs w:val="32"/>
        </w:rPr>
      </w:pPr>
      <w:r>
        <w:rPr>
          <w:rFonts w:hint="eastAsia" w:ascii="黑体" w:hAnsi="黑体" w:eastAsia="黑体" w:cs="黑体"/>
          <w:b/>
          <w:bCs/>
          <w:i w:val="0"/>
          <w:iCs w:val="0"/>
          <w:caps w:val="0"/>
          <w:color w:val="333333"/>
          <w:spacing w:val="0"/>
          <w:sz w:val="32"/>
          <w:szCs w:val="32"/>
          <w:shd w:val="clear" w:color="auto" w:fill="FFFFFF"/>
        </w:rPr>
        <w:t>第三章  举报有关规定</w:t>
      </w:r>
    </w:p>
    <w:p w14:paraId="49A22FD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rPr>
      </w:pPr>
      <w:r>
        <w:rPr>
          <w:rStyle w:val="7"/>
          <w:rFonts w:hint="eastAsia" w:ascii="黑体" w:hAnsi="黑体" w:eastAsia="黑体" w:cs="黑体"/>
          <w:b/>
          <w:bCs/>
          <w:i w:val="0"/>
          <w:iCs w:val="0"/>
          <w:caps w:val="0"/>
          <w:color w:val="333333"/>
          <w:spacing w:val="0"/>
          <w:sz w:val="32"/>
          <w:szCs w:val="32"/>
          <w:shd w:val="clear" w:color="auto" w:fill="FFFFFF"/>
        </w:rPr>
        <w:t>第十条</w:t>
      </w:r>
      <w:r>
        <w:rPr>
          <w:rStyle w:val="7"/>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自然人、法人或者其他组织发现经营者涉嫌违反市场监督管理法律、法规、规章线索的，可依法向市场监督管理部门举报。</w:t>
      </w:r>
    </w:p>
    <w:p w14:paraId="085CB2F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center"/>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333333"/>
          <w:spacing w:val="0"/>
          <w:sz w:val="32"/>
          <w:szCs w:val="32"/>
          <w:shd w:val="clear" w:color="auto" w:fill="FFFFFF"/>
        </w:rPr>
        <w:t> </w:t>
      </w:r>
      <w:r>
        <w:rPr>
          <w:rStyle w:val="7"/>
          <w:rFonts w:hint="eastAsia" w:ascii="黑体" w:hAnsi="黑体" w:eastAsia="黑体" w:cs="黑体"/>
          <w:b/>
          <w:bCs/>
          <w:i w:val="0"/>
          <w:iCs w:val="0"/>
          <w:caps w:val="0"/>
          <w:color w:val="333333"/>
          <w:spacing w:val="0"/>
          <w:sz w:val="32"/>
          <w:szCs w:val="32"/>
          <w:shd w:val="clear" w:color="auto" w:fill="FFFFFF"/>
        </w:rPr>
        <w:t>第十</w:t>
      </w:r>
      <w:r>
        <w:rPr>
          <w:rStyle w:val="7"/>
          <w:rFonts w:hint="eastAsia" w:ascii="黑体" w:hAnsi="黑体" w:eastAsia="黑体" w:cs="黑体"/>
          <w:b/>
          <w:bCs/>
          <w:i w:val="0"/>
          <w:iCs w:val="0"/>
          <w:caps w:val="0"/>
          <w:color w:val="333333"/>
          <w:spacing w:val="0"/>
          <w:sz w:val="32"/>
          <w:szCs w:val="32"/>
          <w:shd w:val="clear" w:color="auto" w:fill="FFFFFF"/>
          <w:lang w:eastAsia="zh-CN"/>
        </w:rPr>
        <w:t>一</w:t>
      </w:r>
      <w:r>
        <w:rPr>
          <w:rStyle w:val="7"/>
          <w:rFonts w:hint="eastAsia" w:ascii="黑体" w:hAnsi="黑体" w:eastAsia="黑体" w:cs="黑体"/>
          <w:b/>
          <w:bCs/>
          <w:i w:val="0"/>
          <w:iCs w:val="0"/>
          <w:caps w:val="0"/>
          <w:color w:val="333333"/>
          <w:spacing w:val="0"/>
          <w:sz w:val="32"/>
          <w:szCs w:val="32"/>
          <w:shd w:val="clear" w:color="auto" w:fill="FFFFFF"/>
        </w:rPr>
        <w:t>条</w:t>
      </w:r>
      <w:r>
        <w:rPr>
          <w:rStyle w:val="7"/>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市场监督管理部门应当按照《市场监督管理行政处罚程序规定》等有关规定对举报线索进行核查，并决定是否立案。</w:t>
      </w:r>
    </w:p>
    <w:p w14:paraId="16B97B76">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举报人实名举报的，应当依法严格核实举报人身份信息，有处理权限的市场监督管理部门，还应当自作出是否立案决定之日起五个工作日内告知举报人。</w:t>
      </w:r>
    </w:p>
    <w:p w14:paraId="15FC7C3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法律、行政法规、地方性法规、部门规章另有规定的，按规定执行。</w:t>
      </w:r>
    </w:p>
    <w:p w14:paraId="647628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center"/>
        <w:rPr>
          <w:rFonts w:hint="eastAsia" w:ascii="仿宋_GB2312" w:hAnsi="仿宋_GB2312" w:eastAsia="仿宋_GB2312" w:cs="仿宋_GB2312"/>
          <w:sz w:val="32"/>
          <w:szCs w:val="32"/>
        </w:rPr>
      </w:pPr>
      <w:r>
        <w:rPr>
          <w:rStyle w:val="7"/>
          <w:rFonts w:hint="eastAsia" w:ascii="黑体" w:hAnsi="黑体" w:eastAsia="黑体" w:cs="黑体"/>
          <w:b/>
          <w:bCs/>
          <w:i w:val="0"/>
          <w:iCs w:val="0"/>
          <w:caps w:val="0"/>
          <w:color w:val="333333"/>
          <w:spacing w:val="0"/>
          <w:sz w:val="32"/>
          <w:szCs w:val="32"/>
          <w:shd w:val="clear" w:color="auto" w:fill="FFFFFF"/>
        </w:rPr>
        <w:t>第十</w:t>
      </w:r>
      <w:r>
        <w:rPr>
          <w:rStyle w:val="7"/>
          <w:rFonts w:hint="eastAsia" w:ascii="黑体" w:hAnsi="黑体" w:eastAsia="黑体" w:cs="黑体"/>
          <w:b/>
          <w:bCs/>
          <w:i w:val="0"/>
          <w:iCs w:val="0"/>
          <w:caps w:val="0"/>
          <w:color w:val="333333"/>
          <w:spacing w:val="0"/>
          <w:sz w:val="32"/>
          <w:szCs w:val="32"/>
          <w:shd w:val="clear" w:color="auto" w:fill="FFFFFF"/>
          <w:lang w:eastAsia="zh-CN"/>
        </w:rPr>
        <w:t>二</w:t>
      </w:r>
      <w:r>
        <w:rPr>
          <w:rStyle w:val="7"/>
          <w:rFonts w:hint="eastAsia" w:ascii="黑体" w:hAnsi="黑体" w:eastAsia="黑体" w:cs="黑体"/>
          <w:b/>
          <w:bCs/>
          <w:i w:val="0"/>
          <w:iCs w:val="0"/>
          <w:caps w:val="0"/>
          <w:color w:val="333333"/>
          <w:spacing w:val="0"/>
          <w:sz w:val="32"/>
          <w:szCs w:val="32"/>
          <w:shd w:val="clear" w:color="auto" w:fill="FFFFFF"/>
        </w:rPr>
        <w:t>条</w:t>
      </w:r>
      <w:r>
        <w:rPr>
          <w:rStyle w:val="7"/>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经核查，已查清事实，有充分证据证明当事人违法行为应当不予行政处罚的，责令当事人改正并依法进行教育，可以不予立案。</w:t>
      </w:r>
    </w:p>
    <w:p w14:paraId="0658AED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决定不予立案的，应当填写不予立案审批表。</w:t>
      </w:r>
    </w:p>
    <w:p w14:paraId="7EA6B5F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center"/>
        <w:rPr>
          <w:rFonts w:hint="eastAsia" w:ascii="仿宋_GB2312" w:hAnsi="仿宋_GB2312" w:eastAsia="仿宋_GB2312" w:cs="仿宋_GB2312"/>
          <w:i w:val="0"/>
          <w:iCs w:val="0"/>
          <w:caps w:val="0"/>
          <w:color w:val="333333"/>
          <w:spacing w:val="0"/>
          <w:sz w:val="32"/>
          <w:szCs w:val="32"/>
          <w:shd w:val="clear" w:color="auto" w:fill="FFFFFF"/>
        </w:rPr>
      </w:pPr>
      <w:r>
        <w:rPr>
          <w:rStyle w:val="7"/>
          <w:rFonts w:hint="eastAsia" w:ascii="黑体" w:hAnsi="黑体" w:eastAsia="黑体" w:cs="黑体"/>
          <w:b/>
          <w:bCs/>
          <w:i w:val="0"/>
          <w:iCs w:val="0"/>
          <w:caps w:val="0"/>
          <w:color w:val="333333"/>
          <w:spacing w:val="0"/>
          <w:sz w:val="32"/>
          <w:szCs w:val="32"/>
          <w:shd w:val="clear" w:color="auto" w:fill="FFFFFF"/>
        </w:rPr>
        <w:t>第十</w:t>
      </w:r>
      <w:r>
        <w:rPr>
          <w:rStyle w:val="7"/>
          <w:rFonts w:hint="eastAsia" w:ascii="黑体" w:hAnsi="黑体" w:eastAsia="黑体" w:cs="黑体"/>
          <w:b/>
          <w:bCs/>
          <w:i w:val="0"/>
          <w:iCs w:val="0"/>
          <w:caps w:val="0"/>
          <w:color w:val="333333"/>
          <w:spacing w:val="0"/>
          <w:sz w:val="32"/>
          <w:szCs w:val="32"/>
          <w:shd w:val="clear" w:color="auto" w:fill="FFFFFF"/>
          <w:lang w:eastAsia="zh-CN"/>
        </w:rPr>
        <w:t>三</w:t>
      </w:r>
      <w:r>
        <w:rPr>
          <w:rStyle w:val="7"/>
          <w:rFonts w:hint="eastAsia" w:ascii="黑体" w:hAnsi="黑体" w:eastAsia="黑体" w:cs="黑体"/>
          <w:b/>
          <w:bCs/>
          <w:i w:val="0"/>
          <w:iCs w:val="0"/>
          <w:caps w:val="0"/>
          <w:color w:val="333333"/>
          <w:spacing w:val="0"/>
          <w:sz w:val="32"/>
          <w:szCs w:val="32"/>
          <w:shd w:val="clear" w:color="auto" w:fill="FFFFFF"/>
        </w:rPr>
        <w:t>条</w:t>
      </w:r>
      <w:r>
        <w:rPr>
          <w:rStyle w:val="7"/>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经核查，符合立案条件的，应当予以立案。立案后，经调查，有下列情形之一的，依法不予行政处罚：</w:t>
      </w:r>
    </w:p>
    <w:p w14:paraId="2BDEC335">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违法行为轻微并及时改正，没有造成危害后果的；</w:t>
      </w:r>
    </w:p>
    <w:p w14:paraId="0F468F5B">
      <w:pPr>
        <w:pStyle w:val="4"/>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除法律、行政法规另有规定外，当事人有证据足以证明没有主观过错的。</w:t>
      </w:r>
    </w:p>
    <w:p w14:paraId="6CABF04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初次违法且危害后果轻微并及时改正的，可以不予行政处罚。</w:t>
      </w:r>
    </w:p>
    <w:p w14:paraId="4079EF2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立案后查清事实，有充分证据证明当事人违法行为应当不予处罚或者从轻、减轻处罚的，应当依照相关程序，制发《不予行政处罚决定书》或者《行政处罚决定书》。</w:t>
      </w:r>
    </w:p>
    <w:p w14:paraId="76939D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center"/>
        <w:rPr>
          <w:rFonts w:hint="eastAsia" w:ascii="仿宋_GB2312" w:hAnsi="仿宋_GB2312" w:eastAsia="仿宋_GB2312" w:cs="仿宋_GB2312"/>
          <w:i w:val="0"/>
          <w:iCs w:val="0"/>
          <w:caps w:val="0"/>
          <w:color w:val="333333"/>
          <w:spacing w:val="0"/>
          <w:sz w:val="32"/>
          <w:szCs w:val="32"/>
          <w:shd w:val="clear" w:color="auto" w:fill="FFFFFF"/>
        </w:rPr>
      </w:pPr>
      <w:r>
        <w:rPr>
          <w:rStyle w:val="7"/>
          <w:rFonts w:hint="eastAsia" w:ascii="黑体" w:hAnsi="黑体" w:eastAsia="黑体" w:cs="黑体"/>
          <w:b/>
          <w:bCs/>
          <w:i w:val="0"/>
          <w:iCs w:val="0"/>
          <w:caps w:val="0"/>
          <w:color w:val="333333"/>
          <w:spacing w:val="0"/>
          <w:sz w:val="32"/>
          <w:szCs w:val="32"/>
          <w:shd w:val="clear" w:color="auto" w:fill="FFFFFF"/>
        </w:rPr>
        <w:t>第十</w:t>
      </w:r>
      <w:r>
        <w:rPr>
          <w:rStyle w:val="7"/>
          <w:rFonts w:hint="eastAsia" w:ascii="黑体" w:hAnsi="黑体" w:eastAsia="黑体" w:cs="黑体"/>
          <w:b/>
          <w:bCs/>
          <w:i w:val="0"/>
          <w:iCs w:val="0"/>
          <w:caps w:val="0"/>
          <w:color w:val="333333"/>
          <w:spacing w:val="0"/>
          <w:sz w:val="32"/>
          <w:szCs w:val="32"/>
          <w:shd w:val="clear" w:color="auto" w:fill="FFFFFF"/>
          <w:lang w:eastAsia="zh-CN"/>
        </w:rPr>
        <w:t>四</w:t>
      </w:r>
      <w:r>
        <w:rPr>
          <w:rStyle w:val="7"/>
          <w:rFonts w:hint="eastAsia" w:ascii="黑体" w:hAnsi="黑体" w:eastAsia="黑体" w:cs="黑体"/>
          <w:b/>
          <w:bCs/>
          <w:i w:val="0"/>
          <w:iCs w:val="0"/>
          <w:caps w:val="0"/>
          <w:color w:val="333333"/>
          <w:spacing w:val="0"/>
          <w:sz w:val="32"/>
          <w:szCs w:val="32"/>
          <w:shd w:val="clear" w:color="auto" w:fill="FFFFFF"/>
        </w:rPr>
        <w:t>条</w:t>
      </w:r>
      <w:r>
        <w:rPr>
          <w:rStyle w:val="7"/>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市场监督管理部门可结合举报线索和实际情况进行判断、甄别，经核查有下列情形之一的，可以认定利用举报牟取不正当利益行为：</w:t>
      </w:r>
    </w:p>
    <w:p w14:paraId="0C57FD73">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通过夹带、调包、造假、篡改商品生产日期、捏造事实等方式虚构或者捏造违法事实，对经营者进行敲诈勒索等涉嫌违法犯罪的；</w:t>
      </w:r>
    </w:p>
    <w:p w14:paraId="4D899FBC">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通过私藏食品、私放过期食品、伪造或者抹去标签内容等方式，恶意制造企业违法生产经营食品、药品虚假事实，恶意举报，敲诈勒索的；</w:t>
      </w:r>
    </w:p>
    <w:p w14:paraId="45A48790">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恶意制造经营者违法生产经营食品、药品的假象，以投诉、起诉等方式相要挟，向经营者索取赔偿金，涉嫌敲诈勒索的；</w:t>
      </w:r>
    </w:p>
    <w:p w14:paraId="6052DF84">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以存在违反市场监督管理法律、法规行为提起举报，利用电话、微信、信息网络等形式，威胁、要挟、胁迫或变相胁迫经营者“破财消灾”或索要高额赔偿的；</w:t>
      </w:r>
    </w:p>
    <w:p w14:paraId="4F920890">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多次举报经营者存在同类违法行为，</w:t>
      </w:r>
      <w:r>
        <w:rPr>
          <w:rFonts w:hint="eastAsia" w:ascii="仿宋_GB2312" w:hAnsi="仿宋_GB2312" w:eastAsia="仿宋_GB2312" w:cs="仿宋_GB2312"/>
          <w:i w:val="0"/>
          <w:iCs w:val="0"/>
          <w:caps w:val="0"/>
          <w:color w:val="333333"/>
          <w:spacing w:val="0"/>
          <w:sz w:val="32"/>
          <w:szCs w:val="32"/>
          <w:shd w:val="clear" w:color="auto" w:fill="FFFFFF"/>
          <w:lang w:eastAsia="zh-CN"/>
        </w:rPr>
        <w:t>或</w:t>
      </w:r>
      <w:r>
        <w:rPr>
          <w:rFonts w:hint="eastAsia" w:ascii="仿宋_GB2312" w:hAnsi="仿宋_GB2312" w:eastAsia="仿宋_GB2312" w:cs="仿宋_GB2312"/>
          <w:i w:val="0"/>
          <w:iCs w:val="0"/>
          <w:caps w:val="0"/>
          <w:color w:val="333333"/>
          <w:spacing w:val="0"/>
          <w:sz w:val="32"/>
          <w:szCs w:val="32"/>
          <w:shd w:val="clear" w:color="auto" w:fill="FFFFFF"/>
        </w:rPr>
        <w:t>对同类商品或服务先进行大量频繁投诉，经市场监督管理部门核查后认定举报的违法行为不属实，又反复进行举报</w:t>
      </w:r>
      <w:r>
        <w:rPr>
          <w:rFonts w:hint="eastAsia" w:ascii="仿宋_GB2312" w:hAnsi="仿宋_GB2312" w:eastAsia="仿宋_GB2312" w:cs="仿宋_GB2312"/>
          <w:i w:val="0"/>
          <w:iCs w:val="0"/>
          <w:caps w:val="0"/>
          <w:color w:val="333333"/>
          <w:spacing w:val="0"/>
          <w:sz w:val="32"/>
          <w:szCs w:val="32"/>
          <w:shd w:val="clear" w:color="auto" w:fill="FFFFFF"/>
          <w:lang w:eastAsia="zh-CN"/>
        </w:rPr>
        <w:t>的</w:t>
      </w:r>
      <w:r>
        <w:rPr>
          <w:rFonts w:hint="eastAsia" w:ascii="仿宋_GB2312" w:hAnsi="仿宋_GB2312" w:eastAsia="仿宋_GB2312" w:cs="仿宋_GB2312"/>
          <w:i w:val="0"/>
          <w:iCs w:val="0"/>
          <w:caps w:val="0"/>
          <w:color w:val="333333"/>
          <w:spacing w:val="0"/>
          <w:sz w:val="32"/>
          <w:szCs w:val="32"/>
          <w:shd w:val="clear" w:color="auto" w:fill="FFFFFF"/>
        </w:rPr>
        <w:t>；</w:t>
      </w:r>
    </w:p>
    <w:p w14:paraId="07F5E51B">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多次就举报事项提起行政复议或诉讼请求，经复议机关或司法机关认定举报的违法行为不属实，再次以类似事项进行举报的；</w:t>
      </w:r>
    </w:p>
    <w:p w14:paraId="0C573F0E">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多次在举报中以行政复议、行政诉讼、申请政府信息公开或以向纪检监察部门反映、信访部门反映、媒体曝光等方式要求市场监督管理部门满足其获得举报奖励目的的；</w:t>
      </w:r>
    </w:p>
    <w:p w14:paraId="11EB0452">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多次就举报事项申请政府信息公开，经相关部门认定不属于公开范围的或者不符合公开情形的；</w:t>
      </w:r>
    </w:p>
    <w:p w14:paraId="2B150C55">
      <w:pPr>
        <w:pStyle w:val="4"/>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center"/>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其他利用举报牟取不正当利益的行为。</w:t>
      </w:r>
    </w:p>
    <w:p w14:paraId="3D378A2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仿宋_GB2312" w:hAnsi="仿宋_GB2312" w:eastAsia="仿宋_GB2312" w:cs="仿宋_GB2312"/>
          <w:i w:val="0"/>
          <w:iCs w:val="0"/>
          <w:caps w:val="0"/>
          <w:color w:val="333333"/>
          <w:spacing w:val="0"/>
          <w:sz w:val="32"/>
          <w:szCs w:val="32"/>
          <w:shd w:val="clear" w:color="auto" w:fill="FFFFFF"/>
        </w:rPr>
      </w:pPr>
      <w:r>
        <w:rPr>
          <w:rStyle w:val="7"/>
          <w:rFonts w:hint="eastAsia" w:ascii="黑体" w:hAnsi="黑体" w:eastAsia="黑体" w:cs="黑体"/>
          <w:b/>
          <w:bCs/>
          <w:i w:val="0"/>
          <w:iCs w:val="0"/>
          <w:caps w:val="0"/>
          <w:color w:val="333333"/>
          <w:spacing w:val="0"/>
          <w:sz w:val="32"/>
          <w:szCs w:val="32"/>
          <w:shd w:val="clear" w:color="auto" w:fill="FFFFFF"/>
        </w:rPr>
        <w:t>第十</w:t>
      </w:r>
      <w:r>
        <w:rPr>
          <w:rStyle w:val="7"/>
          <w:rFonts w:hint="eastAsia" w:ascii="黑体" w:hAnsi="黑体" w:eastAsia="黑体" w:cs="黑体"/>
          <w:b/>
          <w:bCs/>
          <w:i w:val="0"/>
          <w:iCs w:val="0"/>
          <w:caps w:val="0"/>
          <w:color w:val="333333"/>
          <w:spacing w:val="0"/>
          <w:sz w:val="32"/>
          <w:szCs w:val="32"/>
          <w:shd w:val="clear" w:color="auto" w:fill="FFFFFF"/>
          <w:lang w:eastAsia="zh-CN"/>
        </w:rPr>
        <w:t>五</w:t>
      </w:r>
      <w:r>
        <w:rPr>
          <w:rStyle w:val="7"/>
          <w:rFonts w:hint="eastAsia" w:ascii="黑体" w:hAnsi="黑体" w:eastAsia="黑体" w:cs="黑体"/>
          <w:b/>
          <w:bCs/>
          <w:i w:val="0"/>
          <w:iCs w:val="0"/>
          <w:caps w:val="0"/>
          <w:color w:val="333333"/>
          <w:spacing w:val="0"/>
          <w:sz w:val="32"/>
          <w:szCs w:val="32"/>
          <w:shd w:val="clear" w:color="auto" w:fill="FFFFFF"/>
        </w:rPr>
        <w:t>条</w:t>
      </w:r>
      <w:r>
        <w:rPr>
          <w:rStyle w:val="7"/>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对认定为利用举报牟取不正当利益行为的，依法采取如下处理措施：</w:t>
      </w:r>
    </w:p>
    <w:p w14:paraId="104994CF">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对符合第十</w:t>
      </w:r>
      <w:r>
        <w:rPr>
          <w:rFonts w:hint="eastAsia" w:ascii="仿宋_GB2312" w:hAnsi="仿宋_GB2312" w:eastAsia="仿宋_GB2312" w:cs="仿宋_GB2312"/>
          <w:i w:val="0"/>
          <w:iCs w:val="0"/>
          <w:caps w:val="0"/>
          <w:color w:val="333333"/>
          <w:spacing w:val="0"/>
          <w:sz w:val="32"/>
          <w:szCs w:val="32"/>
          <w:shd w:val="clear" w:color="auto" w:fill="FFFFFF"/>
          <w:lang w:eastAsia="zh-CN"/>
        </w:rPr>
        <w:t>四</w:t>
      </w:r>
      <w:r>
        <w:rPr>
          <w:rFonts w:hint="eastAsia" w:ascii="仿宋_GB2312" w:hAnsi="仿宋_GB2312" w:eastAsia="仿宋_GB2312" w:cs="仿宋_GB2312"/>
          <w:i w:val="0"/>
          <w:iCs w:val="0"/>
          <w:caps w:val="0"/>
          <w:color w:val="333333"/>
          <w:spacing w:val="0"/>
          <w:sz w:val="32"/>
          <w:szCs w:val="32"/>
          <w:shd w:val="clear" w:color="auto" w:fill="FFFFFF"/>
        </w:rPr>
        <w:t>条第一项至第四项情形的，对其虚构或者捏造违法事实，恶意举报，敲诈勒索的依法不予立案，并固定证据依法移交公安部门。其中对于第四项举报内容进行核查，被举报人确有违法行为的依法处理；</w:t>
      </w:r>
    </w:p>
    <w:p w14:paraId="1268CD5F">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对符合第十</w:t>
      </w:r>
      <w:r>
        <w:rPr>
          <w:rFonts w:hint="eastAsia" w:ascii="仿宋_GB2312" w:hAnsi="仿宋_GB2312" w:eastAsia="仿宋_GB2312" w:cs="仿宋_GB2312"/>
          <w:i w:val="0"/>
          <w:iCs w:val="0"/>
          <w:caps w:val="0"/>
          <w:color w:val="333333"/>
          <w:spacing w:val="0"/>
          <w:sz w:val="32"/>
          <w:szCs w:val="32"/>
          <w:shd w:val="clear" w:color="auto" w:fill="FFFFFF"/>
          <w:lang w:eastAsia="zh-CN"/>
        </w:rPr>
        <w:t>四</w:t>
      </w:r>
      <w:r>
        <w:rPr>
          <w:rFonts w:hint="eastAsia" w:ascii="仿宋_GB2312" w:hAnsi="仿宋_GB2312" w:eastAsia="仿宋_GB2312" w:cs="仿宋_GB2312"/>
          <w:i w:val="0"/>
          <w:iCs w:val="0"/>
          <w:caps w:val="0"/>
          <w:color w:val="333333"/>
          <w:spacing w:val="0"/>
          <w:sz w:val="32"/>
          <w:szCs w:val="32"/>
          <w:shd w:val="clear" w:color="auto" w:fill="FFFFFF"/>
        </w:rPr>
        <w:t>条第五项、第六项情形的，市场监督管理部门依法不予立案；</w:t>
      </w:r>
    </w:p>
    <w:p w14:paraId="30715337">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i w:val="0"/>
          <w:iCs w:val="0"/>
          <w:caps w:val="0"/>
          <w:color w:val="333333"/>
          <w:spacing w:val="0"/>
          <w:sz w:val="32"/>
          <w:szCs w:val="32"/>
          <w:shd w:val="clear" w:color="auto" w:fill="FFFFFF"/>
        </w:rPr>
      </w:pPr>
      <w:r>
        <w:rPr>
          <w:rFonts w:hint="eastAsia" w:ascii="仿宋_GB2312" w:hAnsi="仿宋_GB2312" w:eastAsia="仿宋_GB2312" w:cs="仿宋_GB2312"/>
          <w:i w:val="0"/>
          <w:iCs w:val="0"/>
          <w:caps w:val="0"/>
          <w:color w:val="333333"/>
          <w:spacing w:val="0"/>
          <w:sz w:val="32"/>
          <w:szCs w:val="32"/>
          <w:shd w:val="clear" w:color="auto" w:fill="FFFFFF"/>
        </w:rPr>
        <w:t>对符合第十</w:t>
      </w:r>
      <w:r>
        <w:rPr>
          <w:rFonts w:hint="eastAsia" w:ascii="仿宋_GB2312" w:hAnsi="仿宋_GB2312" w:eastAsia="仿宋_GB2312" w:cs="仿宋_GB2312"/>
          <w:i w:val="0"/>
          <w:iCs w:val="0"/>
          <w:caps w:val="0"/>
          <w:color w:val="333333"/>
          <w:spacing w:val="0"/>
          <w:sz w:val="32"/>
          <w:szCs w:val="32"/>
          <w:shd w:val="clear" w:color="auto" w:fill="FFFFFF"/>
          <w:lang w:eastAsia="zh-CN"/>
        </w:rPr>
        <w:t>四</w:t>
      </w:r>
      <w:r>
        <w:rPr>
          <w:rFonts w:hint="eastAsia" w:ascii="仿宋_GB2312" w:hAnsi="仿宋_GB2312" w:eastAsia="仿宋_GB2312" w:cs="仿宋_GB2312"/>
          <w:i w:val="0"/>
          <w:iCs w:val="0"/>
          <w:caps w:val="0"/>
          <w:color w:val="333333"/>
          <w:spacing w:val="0"/>
          <w:sz w:val="32"/>
          <w:szCs w:val="32"/>
          <w:shd w:val="clear" w:color="auto" w:fill="FFFFFF"/>
        </w:rPr>
        <w:t>条第七项情形的，</w:t>
      </w:r>
      <w:r>
        <w:rPr>
          <w:rFonts w:hint="default" w:ascii="仿宋_GB2312" w:hAnsi="仿宋_GB2312" w:eastAsia="仿宋_GB2312" w:cs="仿宋_GB2312"/>
          <w:i w:val="0"/>
          <w:iCs w:val="0"/>
          <w:caps w:val="0"/>
          <w:color w:val="333333"/>
          <w:spacing w:val="0"/>
          <w:sz w:val="32"/>
          <w:szCs w:val="32"/>
          <w:shd w:val="clear" w:color="auto" w:fill="FFFFFF"/>
        </w:rPr>
        <w:t>收集举报人实名身份信息并列入投诉举报行为异常名录，被举报人确有违法行为的依法处理；</w:t>
      </w:r>
    </w:p>
    <w:p w14:paraId="239A118B">
      <w:pPr>
        <w:pStyle w:val="4"/>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i w:val="0"/>
          <w:iCs w:val="0"/>
          <w:caps w:val="0"/>
          <w:color w:val="333333"/>
          <w:spacing w:val="0"/>
          <w:sz w:val="32"/>
          <w:szCs w:val="32"/>
          <w:shd w:val="clear" w:color="auto" w:fill="FFFFFF"/>
          <w:lang w:eastAsia="zh-CN"/>
        </w:rPr>
      </w:pPr>
      <w:r>
        <w:rPr>
          <w:rFonts w:hint="eastAsia" w:ascii="仿宋_GB2312" w:hAnsi="仿宋_GB2312" w:eastAsia="仿宋_GB2312" w:cs="仿宋_GB2312"/>
          <w:i w:val="0"/>
          <w:iCs w:val="0"/>
          <w:caps w:val="0"/>
          <w:color w:val="333333"/>
          <w:spacing w:val="0"/>
          <w:sz w:val="32"/>
          <w:szCs w:val="32"/>
          <w:shd w:val="clear" w:color="auto" w:fill="FFFFFF"/>
        </w:rPr>
        <w:t>对符合第十</w:t>
      </w:r>
      <w:r>
        <w:rPr>
          <w:rFonts w:hint="eastAsia" w:ascii="仿宋_GB2312" w:hAnsi="仿宋_GB2312" w:eastAsia="仿宋_GB2312" w:cs="仿宋_GB2312"/>
          <w:i w:val="0"/>
          <w:iCs w:val="0"/>
          <w:caps w:val="0"/>
          <w:color w:val="333333"/>
          <w:spacing w:val="0"/>
          <w:sz w:val="32"/>
          <w:szCs w:val="32"/>
          <w:shd w:val="clear" w:color="auto" w:fill="FFFFFF"/>
          <w:lang w:eastAsia="zh-CN"/>
        </w:rPr>
        <w:t>四</w:t>
      </w:r>
      <w:r>
        <w:rPr>
          <w:rFonts w:hint="eastAsia" w:ascii="仿宋_GB2312" w:hAnsi="仿宋_GB2312" w:eastAsia="仿宋_GB2312" w:cs="仿宋_GB2312"/>
          <w:i w:val="0"/>
          <w:iCs w:val="0"/>
          <w:caps w:val="0"/>
          <w:color w:val="333333"/>
          <w:spacing w:val="0"/>
          <w:sz w:val="32"/>
          <w:szCs w:val="32"/>
          <w:shd w:val="clear" w:color="auto" w:fill="FFFFFF"/>
        </w:rPr>
        <w:t>条第</w:t>
      </w:r>
      <w:r>
        <w:rPr>
          <w:rFonts w:hint="eastAsia" w:ascii="仿宋_GB2312" w:hAnsi="仿宋_GB2312" w:eastAsia="仿宋_GB2312" w:cs="仿宋_GB2312"/>
          <w:i w:val="0"/>
          <w:iCs w:val="0"/>
          <w:caps w:val="0"/>
          <w:color w:val="333333"/>
          <w:spacing w:val="0"/>
          <w:sz w:val="32"/>
          <w:szCs w:val="32"/>
          <w:shd w:val="clear" w:color="auto" w:fill="FFFFFF"/>
          <w:lang w:eastAsia="zh-CN"/>
        </w:rPr>
        <w:t>八</w:t>
      </w:r>
      <w:r>
        <w:rPr>
          <w:rFonts w:hint="eastAsia" w:ascii="仿宋_GB2312" w:hAnsi="仿宋_GB2312" w:eastAsia="仿宋_GB2312" w:cs="仿宋_GB2312"/>
          <w:i w:val="0"/>
          <w:iCs w:val="0"/>
          <w:caps w:val="0"/>
          <w:color w:val="333333"/>
          <w:spacing w:val="0"/>
          <w:sz w:val="32"/>
          <w:szCs w:val="32"/>
          <w:shd w:val="clear" w:color="auto" w:fill="FFFFFF"/>
        </w:rPr>
        <w:t>项情形的，</w:t>
      </w:r>
      <w:r>
        <w:rPr>
          <w:rFonts w:hint="default" w:ascii="仿宋_GB2312" w:hAnsi="仿宋_GB2312" w:eastAsia="仿宋_GB2312" w:cs="仿宋_GB2312"/>
          <w:i w:val="0"/>
          <w:iCs w:val="0"/>
          <w:caps w:val="0"/>
          <w:color w:val="333333"/>
          <w:spacing w:val="0"/>
          <w:sz w:val="32"/>
          <w:szCs w:val="32"/>
          <w:shd w:val="clear" w:color="auto" w:fill="FFFFFF"/>
        </w:rPr>
        <w:t>对于举报依法核查，收集举报人实名身份信息并列入投诉举报行为异常名录</w:t>
      </w:r>
      <w:r>
        <w:rPr>
          <w:rFonts w:hint="eastAsia" w:ascii="仿宋_GB2312" w:hAnsi="仿宋_GB2312" w:eastAsia="仿宋_GB2312" w:cs="仿宋_GB2312"/>
          <w:i w:val="0"/>
          <w:iCs w:val="0"/>
          <w:caps w:val="0"/>
          <w:color w:val="333333"/>
          <w:spacing w:val="0"/>
          <w:sz w:val="32"/>
          <w:szCs w:val="32"/>
          <w:shd w:val="clear" w:color="auto" w:fill="FFFFFF"/>
          <w:lang w:eastAsia="zh-CN"/>
        </w:rPr>
        <w:t>。</w:t>
      </w:r>
    </w:p>
    <w:p w14:paraId="0908E31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 </w:t>
      </w:r>
      <w:r>
        <w:rPr>
          <w:rStyle w:val="7"/>
          <w:rFonts w:hint="eastAsia" w:ascii="黑体" w:hAnsi="黑体" w:eastAsia="黑体" w:cs="黑体"/>
          <w:b/>
          <w:bCs/>
          <w:i w:val="0"/>
          <w:iCs w:val="0"/>
          <w:caps w:val="0"/>
          <w:color w:val="333333"/>
          <w:spacing w:val="0"/>
          <w:sz w:val="32"/>
          <w:szCs w:val="32"/>
          <w:shd w:val="clear" w:color="auto" w:fill="FFFFFF"/>
        </w:rPr>
        <w:t>第十</w:t>
      </w:r>
      <w:r>
        <w:rPr>
          <w:rStyle w:val="7"/>
          <w:rFonts w:hint="eastAsia" w:ascii="黑体" w:hAnsi="黑体" w:eastAsia="黑体" w:cs="黑体"/>
          <w:b/>
          <w:bCs/>
          <w:i w:val="0"/>
          <w:iCs w:val="0"/>
          <w:caps w:val="0"/>
          <w:color w:val="333333"/>
          <w:spacing w:val="0"/>
          <w:sz w:val="32"/>
          <w:szCs w:val="32"/>
          <w:shd w:val="clear" w:color="auto" w:fill="FFFFFF"/>
          <w:lang w:eastAsia="zh-CN"/>
        </w:rPr>
        <w:t>六</w:t>
      </w:r>
      <w:r>
        <w:rPr>
          <w:rStyle w:val="7"/>
          <w:rFonts w:hint="eastAsia" w:ascii="黑体" w:hAnsi="黑体" w:eastAsia="黑体" w:cs="黑体"/>
          <w:b/>
          <w:bCs/>
          <w:i w:val="0"/>
          <w:iCs w:val="0"/>
          <w:caps w:val="0"/>
          <w:color w:val="333333"/>
          <w:spacing w:val="0"/>
          <w:sz w:val="32"/>
          <w:szCs w:val="32"/>
          <w:shd w:val="clear" w:color="auto" w:fill="FFFFFF"/>
        </w:rPr>
        <w:t>条</w:t>
      </w:r>
      <w:r>
        <w:rPr>
          <w:rStyle w:val="7"/>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严格适用举报奖励。对举报违反食品、药品、特种设备、工业产品质量安全相关法律法规规定的重大违法行为，按照相关举报奖励规定从严审核，符合条件的，根据《市场监管领域重大违法行为举报奖励暂行办法》给予相应奖励；对牟利性举报，除可能引发食品安全事故或者涉嫌犯罪等有明确奖励规定的以外，不符合举报奖励规定的，不予奖励。</w:t>
      </w:r>
    </w:p>
    <w:p w14:paraId="41F5C12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center"/>
        <w:rPr>
          <w:rFonts w:hint="eastAsia" w:ascii="黑体" w:hAnsi="黑体" w:eastAsia="黑体" w:cs="黑体"/>
          <w:b/>
          <w:bCs/>
          <w:i w:val="0"/>
          <w:iCs w:val="0"/>
          <w:caps w:val="0"/>
          <w:color w:val="333333"/>
          <w:spacing w:val="0"/>
          <w:sz w:val="32"/>
          <w:szCs w:val="32"/>
          <w:shd w:val="clear" w:color="auto" w:fill="FFFFFF"/>
        </w:rPr>
      </w:pPr>
    </w:p>
    <w:p w14:paraId="12A2015E">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eastAsia" w:ascii="黑体" w:hAnsi="黑体" w:eastAsia="黑体" w:cs="黑体"/>
          <w:b/>
          <w:bCs/>
          <w:sz w:val="32"/>
          <w:szCs w:val="32"/>
        </w:rPr>
      </w:pPr>
      <w:r>
        <w:rPr>
          <w:rFonts w:hint="eastAsia" w:ascii="黑体" w:hAnsi="黑体" w:eastAsia="黑体" w:cs="黑体"/>
          <w:b/>
          <w:bCs/>
          <w:i w:val="0"/>
          <w:iCs w:val="0"/>
          <w:caps w:val="0"/>
          <w:color w:val="333333"/>
          <w:spacing w:val="0"/>
          <w:sz w:val="32"/>
          <w:szCs w:val="32"/>
          <w:shd w:val="clear" w:color="auto" w:fill="FFFFFF"/>
        </w:rPr>
        <w:t>第四章  投诉举报处置相关机制</w:t>
      </w:r>
    </w:p>
    <w:p w14:paraId="6627CB3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rPr>
      </w:pPr>
      <w:r>
        <w:rPr>
          <w:rStyle w:val="7"/>
          <w:rFonts w:hint="eastAsia" w:ascii="黑体" w:hAnsi="黑体" w:eastAsia="黑体" w:cs="黑体"/>
          <w:b/>
          <w:bCs/>
          <w:i w:val="0"/>
          <w:iCs w:val="0"/>
          <w:caps w:val="0"/>
          <w:color w:val="333333"/>
          <w:spacing w:val="0"/>
          <w:sz w:val="32"/>
          <w:szCs w:val="32"/>
          <w:shd w:val="clear" w:color="auto" w:fill="FFFFFF"/>
        </w:rPr>
        <w:t>第十</w:t>
      </w:r>
      <w:r>
        <w:rPr>
          <w:rStyle w:val="7"/>
          <w:rFonts w:hint="eastAsia" w:ascii="黑体" w:hAnsi="黑体" w:eastAsia="黑体" w:cs="黑体"/>
          <w:b/>
          <w:bCs/>
          <w:i w:val="0"/>
          <w:iCs w:val="0"/>
          <w:caps w:val="0"/>
          <w:color w:val="333333"/>
          <w:spacing w:val="0"/>
          <w:sz w:val="32"/>
          <w:szCs w:val="32"/>
          <w:shd w:val="clear" w:color="auto" w:fill="FFFFFF"/>
          <w:lang w:eastAsia="zh-CN"/>
        </w:rPr>
        <w:t>七</w:t>
      </w:r>
      <w:r>
        <w:rPr>
          <w:rStyle w:val="7"/>
          <w:rFonts w:hint="eastAsia" w:ascii="黑体" w:hAnsi="黑体" w:eastAsia="黑体" w:cs="黑体"/>
          <w:b/>
          <w:bCs/>
          <w:i w:val="0"/>
          <w:iCs w:val="0"/>
          <w:caps w:val="0"/>
          <w:color w:val="333333"/>
          <w:spacing w:val="0"/>
          <w:sz w:val="32"/>
          <w:szCs w:val="32"/>
          <w:shd w:val="clear" w:color="auto" w:fill="FFFFFF"/>
        </w:rPr>
        <w:t>条</w:t>
      </w:r>
      <w:r>
        <w:rPr>
          <w:rStyle w:val="7"/>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建立投诉举报行为异常名录互认机制。市场监督管理部门及时梳理投诉举报数据，建立疑似牟利性投诉举报人异常名录。异常名录主要内容包括：投诉举报人姓名、身份证号、联系电话、联系地址、12315投诉举报数量、12345投诉举报数量、复议数量、诉讼数量、信访数量、反映的主要问题、涉及领域或商品服务类别、相关行政处罚情况等内容。</w:t>
      </w:r>
    </w:p>
    <w:p w14:paraId="539099A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color="auto" w:fill="FFFFFF"/>
        </w:rPr>
        <w:t>市场监督管理部门适时对异常名录内容进行更新，并定期将异常名录通报人民法院、人民检察院和行政复议机构、公安、信访、12345政务服务便民热线等部门，确保投诉举报异常名录信息共享和互通。采集和使用异常名录过程中，应当严格保护投诉举报人的个人信息和隐私，不得向社会公开发布。</w:t>
      </w:r>
    </w:p>
    <w:p w14:paraId="69F5993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rPr>
      </w:pPr>
      <w:r>
        <w:rPr>
          <w:rStyle w:val="7"/>
          <w:rFonts w:hint="eastAsia" w:ascii="黑体" w:hAnsi="黑体" w:eastAsia="黑体" w:cs="黑体"/>
          <w:b/>
          <w:bCs/>
          <w:i w:val="0"/>
          <w:iCs w:val="0"/>
          <w:caps w:val="0"/>
          <w:color w:val="333333"/>
          <w:spacing w:val="0"/>
          <w:sz w:val="32"/>
          <w:szCs w:val="32"/>
          <w:shd w:val="clear" w:color="auto" w:fill="FFFFFF"/>
        </w:rPr>
        <w:t>第十</w:t>
      </w:r>
      <w:r>
        <w:rPr>
          <w:rStyle w:val="7"/>
          <w:rFonts w:hint="eastAsia" w:ascii="黑体" w:hAnsi="黑体" w:eastAsia="黑体" w:cs="黑体"/>
          <w:b/>
          <w:bCs/>
          <w:i w:val="0"/>
          <w:iCs w:val="0"/>
          <w:caps w:val="0"/>
          <w:color w:val="333333"/>
          <w:spacing w:val="0"/>
          <w:sz w:val="32"/>
          <w:szCs w:val="32"/>
          <w:shd w:val="clear" w:color="auto" w:fill="FFFFFF"/>
          <w:lang w:eastAsia="zh-CN"/>
        </w:rPr>
        <w:t>八</w:t>
      </w:r>
      <w:r>
        <w:rPr>
          <w:rStyle w:val="7"/>
          <w:rFonts w:hint="eastAsia" w:ascii="黑体" w:hAnsi="黑体" w:eastAsia="黑体" w:cs="黑体"/>
          <w:b/>
          <w:bCs/>
          <w:i w:val="0"/>
          <w:iCs w:val="0"/>
          <w:caps w:val="0"/>
          <w:color w:val="333333"/>
          <w:spacing w:val="0"/>
          <w:sz w:val="32"/>
          <w:szCs w:val="32"/>
          <w:shd w:val="clear" w:color="auto" w:fill="FFFFFF"/>
        </w:rPr>
        <w:t>条</w:t>
      </w:r>
      <w:r>
        <w:rPr>
          <w:rStyle w:val="7"/>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实施包容审慎监管。按照“处罚与教育相结合”“过罚相当”的原则和法律法规明确的“首违不罚”“轻微不罚”精神，结合违法原因、违法情节、主观过错、危害程度以及改正情况等因素，准确运用包容审慎监管的相关规定和行政处罚裁量基准，对投诉举报中涉及的轻微违法、首次违法等未造成危害后果或者后果轻微的行为，实施轻微违法行为不予行政处罚，激励市场主体及时自我纠错，消除、减轻社会危害后果，确保执法效果和规范目的相匹配。</w:t>
      </w:r>
    </w:p>
    <w:p w14:paraId="660A16AB">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rPr>
      </w:pPr>
      <w:r>
        <w:rPr>
          <w:rStyle w:val="7"/>
          <w:rFonts w:hint="eastAsia" w:ascii="黑体" w:hAnsi="黑体" w:eastAsia="黑体" w:cs="黑体"/>
          <w:b/>
          <w:bCs/>
          <w:i w:val="0"/>
          <w:iCs w:val="0"/>
          <w:caps w:val="0"/>
          <w:color w:val="333333"/>
          <w:spacing w:val="0"/>
          <w:sz w:val="32"/>
          <w:szCs w:val="32"/>
          <w:shd w:val="clear" w:color="auto" w:fill="FFFFFF"/>
        </w:rPr>
        <w:t>第</w:t>
      </w:r>
      <w:r>
        <w:rPr>
          <w:rStyle w:val="7"/>
          <w:rFonts w:hint="eastAsia" w:ascii="黑体" w:hAnsi="黑体" w:eastAsia="黑体" w:cs="黑体"/>
          <w:b/>
          <w:bCs/>
          <w:i w:val="0"/>
          <w:iCs w:val="0"/>
          <w:caps w:val="0"/>
          <w:color w:val="333333"/>
          <w:spacing w:val="0"/>
          <w:sz w:val="32"/>
          <w:szCs w:val="32"/>
          <w:shd w:val="clear" w:color="auto" w:fill="FFFFFF"/>
          <w:lang w:eastAsia="zh-CN"/>
        </w:rPr>
        <w:t>十九</w:t>
      </w:r>
      <w:r>
        <w:rPr>
          <w:rStyle w:val="7"/>
          <w:rFonts w:hint="eastAsia" w:ascii="黑体" w:hAnsi="黑体" w:eastAsia="黑体" w:cs="黑体"/>
          <w:b/>
          <w:bCs/>
          <w:i w:val="0"/>
          <w:iCs w:val="0"/>
          <w:caps w:val="0"/>
          <w:color w:val="333333"/>
          <w:spacing w:val="0"/>
          <w:sz w:val="32"/>
          <w:szCs w:val="32"/>
          <w:shd w:val="clear" w:color="auto" w:fill="FFFFFF"/>
        </w:rPr>
        <w:t>条</w:t>
      </w:r>
      <w:r>
        <w:rPr>
          <w:rStyle w:val="7"/>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建立行刑衔接机制。依法对牟利性索赔行为进行联合惩戒，积极广泛征集、收集企业和群众反映的恶意利用行政、司法资源实施牟利性索赔线索，对确有证据证明涉嫌构成敲诈勒索、诈骗等刑事犯罪的相关人员，通过行刑衔接移送公安部门，依法追究刑事责任。</w:t>
      </w:r>
    </w:p>
    <w:p w14:paraId="73401C3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rPr>
      </w:pPr>
      <w:r>
        <w:rPr>
          <w:rStyle w:val="7"/>
          <w:rFonts w:hint="eastAsia" w:ascii="黑体" w:hAnsi="黑体" w:eastAsia="黑体" w:cs="黑体"/>
          <w:b/>
          <w:bCs/>
          <w:i w:val="0"/>
          <w:iCs w:val="0"/>
          <w:caps w:val="0"/>
          <w:color w:val="333333"/>
          <w:spacing w:val="0"/>
          <w:sz w:val="32"/>
          <w:szCs w:val="32"/>
          <w:shd w:val="clear" w:color="auto" w:fill="FFFFFF"/>
        </w:rPr>
        <w:t>第二十条</w:t>
      </w:r>
      <w:r>
        <w:rPr>
          <w:rStyle w:val="7"/>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构建科学处理投诉举报的评价、容错机制。对涉及牟利性投诉举报行为，原则上不纳入市、县两级调解成功率考核和满意度测评考核范畴；涉及牟利性投诉举报的行政复议、行政诉讼类考评，特别是涉及投诉举报复议诉讼案件中的新类型、改革探索性案件等情况，相关指标酌情参考调整，以鼓励政府有关部门履职尽责，勇于担当作为。</w:t>
      </w:r>
    </w:p>
    <w:p w14:paraId="42C5AED0">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rPr>
          <w:rFonts w:hint="eastAsia" w:ascii="黑体" w:hAnsi="黑体" w:eastAsia="黑体" w:cs="黑体"/>
          <w:b/>
          <w:bCs/>
          <w:i w:val="0"/>
          <w:iCs w:val="0"/>
          <w:caps w:val="0"/>
          <w:color w:val="333333"/>
          <w:spacing w:val="0"/>
          <w:sz w:val="32"/>
          <w:szCs w:val="32"/>
          <w:shd w:val="clear" w:color="auto" w:fill="FFFFFF"/>
        </w:rPr>
      </w:pPr>
    </w:p>
    <w:p w14:paraId="390936E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eastAsia" w:ascii="黑体" w:hAnsi="黑体" w:eastAsia="黑体" w:cs="黑体"/>
          <w:b/>
          <w:bCs/>
          <w:sz w:val="32"/>
          <w:szCs w:val="32"/>
        </w:rPr>
      </w:pPr>
      <w:r>
        <w:rPr>
          <w:rFonts w:hint="eastAsia" w:ascii="黑体" w:hAnsi="黑体" w:eastAsia="黑体" w:cs="黑体"/>
          <w:b/>
          <w:bCs/>
          <w:i w:val="0"/>
          <w:iCs w:val="0"/>
          <w:caps w:val="0"/>
          <w:color w:val="333333"/>
          <w:spacing w:val="0"/>
          <w:sz w:val="32"/>
          <w:szCs w:val="32"/>
          <w:shd w:val="clear" w:color="auto" w:fill="FFFFFF"/>
        </w:rPr>
        <w:t>第五章  部门信息共享及协作</w:t>
      </w:r>
    </w:p>
    <w:p w14:paraId="4D58DE5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center"/>
        <w:rPr>
          <w:rFonts w:hint="eastAsia" w:ascii="仿宋_GB2312" w:hAnsi="仿宋_GB2312" w:eastAsia="仿宋_GB2312" w:cs="仿宋_GB2312"/>
          <w:i w:val="0"/>
          <w:iCs w:val="0"/>
          <w:caps w:val="0"/>
          <w:color w:val="333333"/>
          <w:spacing w:val="0"/>
          <w:sz w:val="32"/>
          <w:szCs w:val="32"/>
          <w:shd w:val="clear" w:color="auto" w:fill="FFFFFF"/>
        </w:rPr>
      </w:pPr>
      <w:r>
        <w:rPr>
          <w:rStyle w:val="7"/>
          <w:rFonts w:hint="eastAsia" w:ascii="黑体" w:hAnsi="黑体" w:eastAsia="黑体" w:cs="黑体"/>
          <w:b/>
          <w:bCs/>
          <w:i w:val="0"/>
          <w:iCs w:val="0"/>
          <w:caps w:val="0"/>
          <w:color w:val="333333"/>
          <w:spacing w:val="0"/>
          <w:sz w:val="32"/>
          <w:szCs w:val="32"/>
          <w:shd w:val="clear" w:color="auto" w:fill="FFFFFF"/>
        </w:rPr>
        <w:t>第二十</w:t>
      </w:r>
      <w:r>
        <w:rPr>
          <w:rStyle w:val="7"/>
          <w:rFonts w:hint="eastAsia" w:ascii="黑体" w:hAnsi="黑体" w:eastAsia="黑体" w:cs="黑体"/>
          <w:b/>
          <w:bCs/>
          <w:i w:val="0"/>
          <w:iCs w:val="0"/>
          <w:caps w:val="0"/>
          <w:color w:val="333333"/>
          <w:spacing w:val="0"/>
          <w:sz w:val="32"/>
          <w:szCs w:val="32"/>
          <w:shd w:val="clear" w:color="auto" w:fill="FFFFFF"/>
          <w:lang w:eastAsia="zh-CN"/>
        </w:rPr>
        <w:t>一</w:t>
      </w:r>
      <w:r>
        <w:rPr>
          <w:rStyle w:val="7"/>
          <w:rFonts w:hint="eastAsia" w:ascii="黑体" w:hAnsi="黑体" w:eastAsia="黑体" w:cs="黑体"/>
          <w:b/>
          <w:bCs/>
          <w:i w:val="0"/>
          <w:iCs w:val="0"/>
          <w:caps w:val="0"/>
          <w:color w:val="333333"/>
          <w:spacing w:val="0"/>
          <w:sz w:val="32"/>
          <w:szCs w:val="32"/>
          <w:shd w:val="clear" w:color="auto" w:fill="FFFFFF"/>
        </w:rPr>
        <w:t>条</w:t>
      </w:r>
      <w:r>
        <w:rPr>
          <w:rStyle w:val="7"/>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市场监督管理、法院、检察院、行政复议机构、公安、信访、12345政务服务便民热线等部门要深化部门联动，加强沟通协作，实现部门信息共享。建立投诉举报、行政复议、行政诉讼、信息公开、信访等数据信息定期通报机制，定期更新完善投诉举报异常名录，及时会商研判重点、难点问题。</w:t>
      </w:r>
    </w:p>
    <w:p w14:paraId="224D13E9">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333333"/>
          <w:spacing w:val="0"/>
          <w:sz w:val="32"/>
          <w:szCs w:val="32"/>
          <w:shd w:val="clear" w:color="auto" w:fill="FFFFFF"/>
        </w:rPr>
        <w:t>市场监督管理部门</w:t>
      </w:r>
      <w:r>
        <w:rPr>
          <w:rFonts w:hint="eastAsia" w:ascii="仿宋_GB2312" w:hAnsi="仿宋_GB2312" w:eastAsia="仿宋_GB2312" w:cs="仿宋_GB2312"/>
          <w:i w:val="0"/>
          <w:iCs w:val="0"/>
          <w:caps w:val="0"/>
          <w:color w:val="333333"/>
          <w:spacing w:val="0"/>
          <w:sz w:val="32"/>
          <w:szCs w:val="32"/>
          <w:shd w:val="clear" w:color="auto" w:fill="FFFFFF"/>
        </w:rPr>
        <w:t>要审慎判定、及时梳理牟利性投诉举报，规范处置程序、处理标准、处理结果。要强化投诉举报数据分析和利用，更新完善异常名录，定期抄送相关部门。全面落实行政执法和刑事司法工作衔接机制，发现和搜集涉嫌违法犯罪线索，及时移送公安等部门处理。</w:t>
      </w:r>
    </w:p>
    <w:p w14:paraId="6DE94AF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center"/>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333333"/>
          <w:spacing w:val="0"/>
          <w:sz w:val="32"/>
          <w:szCs w:val="32"/>
          <w:shd w:val="clear" w:color="auto" w:fill="FFFFFF"/>
        </w:rPr>
        <w:t>人民法院</w:t>
      </w:r>
      <w:r>
        <w:rPr>
          <w:rFonts w:hint="eastAsia" w:ascii="仿宋_GB2312" w:hAnsi="仿宋_GB2312" w:eastAsia="仿宋_GB2312" w:cs="仿宋_GB2312"/>
          <w:i w:val="0"/>
          <w:iCs w:val="0"/>
          <w:caps w:val="0"/>
          <w:color w:val="333333"/>
          <w:spacing w:val="0"/>
          <w:sz w:val="32"/>
          <w:szCs w:val="32"/>
          <w:shd w:val="clear" w:color="auto" w:fill="FFFFFF"/>
        </w:rPr>
        <w:t>要充分发挥行政审判职能。对市场监督管理部门根据行政处罚法等法律、法规、规章和有关规定作出的不予立案、不予处罚、从轻或减轻处罚等决定，人民法院依法予以支持。依法支持市场监督管理部门对利用投诉、举报牟取不正当利益行为进行处置。对投诉举报人滥用诉权的行为依法予以规制，行政行为对当事人的合法权益明显不产生实际影响的，依法不予立案或裁定驳回起诉。对不以净化市场、打击违法违规行为为目的的牟利性索赔人所提诉讼，经审查属于违反“诚实信用、公序良俗”基本法律原则，扰乱市场经济秩序，浪费公共资源和司法资源的，对其牟利性主张依法不予保护。建立滥诉甄别机制，遏制恶意诉讼行为，构成犯罪的，依法予以打击。</w:t>
      </w:r>
    </w:p>
    <w:p w14:paraId="692A97C2">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center"/>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333333"/>
          <w:spacing w:val="0"/>
          <w:sz w:val="32"/>
          <w:szCs w:val="32"/>
          <w:shd w:val="clear" w:color="auto" w:fill="FFFFFF"/>
        </w:rPr>
        <w:t>人民检察院</w:t>
      </w:r>
      <w:r>
        <w:rPr>
          <w:rFonts w:hint="eastAsia" w:ascii="仿宋_GB2312" w:hAnsi="仿宋_GB2312" w:eastAsia="仿宋_GB2312" w:cs="仿宋_GB2312"/>
          <w:i w:val="0"/>
          <w:iCs w:val="0"/>
          <w:caps w:val="0"/>
          <w:color w:val="333333"/>
          <w:spacing w:val="0"/>
          <w:sz w:val="32"/>
          <w:szCs w:val="32"/>
          <w:shd w:val="clear" w:color="auto" w:fill="FFFFFF"/>
        </w:rPr>
        <w:t>要依法履行法律监督职责。加强与人民法院、公安等部门的协作，统一执法司法理念，统一证据认定标准。依法依规加强对利用投诉、举报牟取不正当利益行为方面行政处理、行政诉讼的法律监督。对公安机关移送的涉嫌敲诈勒索、诈骗等构成犯罪的行为依法及时开展审查逮捕、审查起诉工作，注重落实宽严相济的刑事政策。</w:t>
      </w:r>
    </w:p>
    <w:p w14:paraId="57FCF24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333333"/>
          <w:spacing w:val="0"/>
          <w:sz w:val="32"/>
          <w:szCs w:val="32"/>
          <w:shd w:val="clear" w:color="auto" w:fill="FFFFFF"/>
        </w:rPr>
        <w:t>行政复议机构</w:t>
      </w:r>
      <w:r>
        <w:rPr>
          <w:rFonts w:hint="eastAsia" w:ascii="仿宋_GB2312" w:hAnsi="仿宋_GB2312" w:eastAsia="仿宋_GB2312" w:cs="仿宋_GB2312"/>
          <w:i w:val="0"/>
          <w:iCs w:val="0"/>
          <w:caps w:val="0"/>
          <w:color w:val="333333"/>
          <w:spacing w:val="0"/>
          <w:sz w:val="32"/>
          <w:szCs w:val="32"/>
          <w:shd w:val="clear" w:color="auto" w:fill="FFFFFF"/>
        </w:rPr>
        <w:t>要充分履行行政复议职能，依法支持市场监督管理部门对投诉举报的规范处置行为。严格审查申请人与具体行政行为的利害关系，不具备利害关系的，依法不予受理或驳回申请；对申请人不服行政机关对民事纠纷的调解或其他处理而申请行政复议的，依法不予受理。</w:t>
      </w:r>
    </w:p>
    <w:p w14:paraId="552DE9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center"/>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333333"/>
          <w:spacing w:val="0"/>
          <w:sz w:val="32"/>
          <w:szCs w:val="32"/>
          <w:shd w:val="clear" w:color="auto" w:fill="FFFFFF"/>
        </w:rPr>
        <w:t>12345政务服务便民热线管理部门</w:t>
      </w:r>
      <w:r>
        <w:rPr>
          <w:rFonts w:hint="eastAsia" w:ascii="仿宋_GB2312" w:hAnsi="仿宋_GB2312" w:eastAsia="仿宋_GB2312" w:cs="仿宋_GB2312"/>
          <w:i w:val="0"/>
          <w:iCs w:val="0"/>
          <w:caps w:val="0"/>
          <w:color w:val="333333"/>
          <w:spacing w:val="0"/>
          <w:sz w:val="32"/>
          <w:szCs w:val="32"/>
          <w:shd w:val="clear" w:color="auto" w:fill="FFFFFF"/>
        </w:rPr>
        <w:t>受理消费争议相关投诉时，依法、依规统一受理标准。对于投诉人不提供真实身份信息、无明确的被投诉人、无具体的投诉请求和事实依据的消费争议投诉，依法依规不予受理。根据情况动态优化12345政务服务便民热线考核涉及消费者投诉的相关指标。</w:t>
      </w:r>
    </w:p>
    <w:p w14:paraId="56BECA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333333"/>
          <w:spacing w:val="0"/>
          <w:sz w:val="32"/>
          <w:szCs w:val="32"/>
          <w:shd w:val="clear" w:color="auto" w:fill="FFFFFF"/>
        </w:rPr>
        <w:t>公安部门</w:t>
      </w:r>
      <w:r>
        <w:rPr>
          <w:rFonts w:hint="eastAsia" w:ascii="仿宋_GB2312" w:hAnsi="仿宋_GB2312" w:eastAsia="仿宋_GB2312" w:cs="仿宋_GB2312"/>
          <w:i w:val="0"/>
          <w:iCs w:val="0"/>
          <w:caps w:val="0"/>
          <w:color w:val="333333"/>
          <w:spacing w:val="0"/>
          <w:sz w:val="32"/>
          <w:szCs w:val="32"/>
          <w:shd w:val="clear" w:color="auto" w:fill="FFFFFF"/>
        </w:rPr>
        <w:t>要依法严厉打击以“打假”为名恶意投诉、恶意举报和利用信息网络威胁、要挟、诬告陷害等敲诈勒索违法犯罪行为。指导、提醒商家及时搜集、固定相关证据并向公安机关进行举报；接收各部门在处理职业索赔人投诉举报过程中发现的违法犯罪线索，迅速开展调查，形成打击恶意索赔行为的高压态势，有效降低牟利性索赔投诉举报数量。</w:t>
      </w:r>
    </w:p>
    <w:p w14:paraId="0A031E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jc w:val="both"/>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333333"/>
          <w:spacing w:val="0"/>
          <w:sz w:val="32"/>
          <w:szCs w:val="32"/>
          <w:shd w:val="clear" w:color="auto" w:fill="FFFFFF"/>
        </w:rPr>
        <w:t>司法行政部门</w:t>
      </w:r>
      <w:r>
        <w:rPr>
          <w:rFonts w:hint="eastAsia" w:ascii="仿宋_GB2312" w:hAnsi="仿宋_GB2312" w:eastAsia="仿宋_GB2312" w:cs="仿宋_GB2312"/>
          <w:i w:val="0"/>
          <w:iCs w:val="0"/>
          <w:caps w:val="0"/>
          <w:color w:val="333333"/>
          <w:spacing w:val="0"/>
          <w:sz w:val="32"/>
          <w:szCs w:val="32"/>
          <w:shd w:val="clear" w:color="auto" w:fill="FFFFFF"/>
        </w:rPr>
        <w:t>要充分发挥府院联动机制作用，实施包容审慎监管。对于市场监督管理部门因执行本规定出现行政执法失误，或导致败诉，对于执法单位和执法人员勤勉尽责、未牟取私利的，对执法单位不作负面评价，对执法人员不予追究执法过错责任。</w:t>
      </w:r>
    </w:p>
    <w:p w14:paraId="413EA2E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rPr>
      </w:pPr>
      <w:r>
        <w:rPr>
          <w:rStyle w:val="7"/>
          <w:rFonts w:hint="eastAsia" w:ascii="仿宋_GB2312" w:hAnsi="仿宋_GB2312" w:eastAsia="仿宋_GB2312" w:cs="仿宋_GB2312"/>
          <w:b/>
          <w:bCs/>
          <w:i w:val="0"/>
          <w:iCs w:val="0"/>
          <w:caps w:val="0"/>
          <w:color w:val="333333"/>
          <w:spacing w:val="0"/>
          <w:sz w:val="32"/>
          <w:szCs w:val="32"/>
          <w:shd w:val="clear" w:color="auto" w:fill="FFFFFF"/>
        </w:rPr>
        <w:t>信访部门</w:t>
      </w:r>
      <w:r>
        <w:rPr>
          <w:rFonts w:hint="eastAsia" w:ascii="仿宋_GB2312" w:hAnsi="仿宋_GB2312" w:eastAsia="仿宋_GB2312" w:cs="仿宋_GB2312"/>
          <w:i w:val="0"/>
          <w:iCs w:val="0"/>
          <w:caps w:val="0"/>
          <w:color w:val="333333"/>
          <w:spacing w:val="0"/>
          <w:sz w:val="32"/>
          <w:szCs w:val="32"/>
          <w:shd w:val="clear" w:color="auto" w:fill="FFFFFF"/>
        </w:rPr>
        <w:t>要及时将涉及市场监管领域的牟利性信访投诉信息与相关部门共享，协助处理因牟利性投诉举报引发的信访相关事务，对涉及利用投诉、举报牟取不正当利益行为的，依法支持相关部门的处置。</w:t>
      </w:r>
    </w:p>
    <w:p w14:paraId="2DDFECB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rPr>
      </w:pPr>
      <w:r>
        <w:rPr>
          <w:rStyle w:val="7"/>
          <w:rFonts w:hint="eastAsia" w:ascii="黑体" w:hAnsi="黑体" w:eastAsia="黑体" w:cs="黑体"/>
          <w:b/>
          <w:bCs/>
          <w:i w:val="0"/>
          <w:iCs w:val="0"/>
          <w:caps w:val="0"/>
          <w:color w:val="333333"/>
          <w:spacing w:val="0"/>
          <w:sz w:val="32"/>
          <w:szCs w:val="32"/>
          <w:shd w:val="clear" w:color="auto" w:fill="FFFFFF"/>
        </w:rPr>
        <w:t>第二十</w:t>
      </w:r>
      <w:r>
        <w:rPr>
          <w:rStyle w:val="7"/>
          <w:rFonts w:hint="eastAsia" w:ascii="黑体" w:hAnsi="黑体" w:eastAsia="黑体" w:cs="黑体"/>
          <w:b/>
          <w:bCs/>
          <w:i w:val="0"/>
          <w:iCs w:val="0"/>
          <w:caps w:val="0"/>
          <w:color w:val="333333"/>
          <w:spacing w:val="0"/>
          <w:sz w:val="32"/>
          <w:szCs w:val="32"/>
          <w:shd w:val="clear" w:color="auto" w:fill="FFFFFF"/>
          <w:lang w:eastAsia="zh-CN"/>
        </w:rPr>
        <w:t>二</w:t>
      </w:r>
      <w:r>
        <w:rPr>
          <w:rStyle w:val="7"/>
          <w:rFonts w:hint="eastAsia" w:ascii="黑体" w:hAnsi="黑体" w:eastAsia="黑体" w:cs="黑体"/>
          <w:b/>
          <w:bCs/>
          <w:i w:val="0"/>
          <w:iCs w:val="0"/>
          <w:caps w:val="0"/>
          <w:color w:val="333333"/>
          <w:spacing w:val="0"/>
          <w:sz w:val="32"/>
          <w:szCs w:val="32"/>
          <w:shd w:val="clear" w:color="auto" w:fill="FFFFFF"/>
        </w:rPr>
        <w:t>条</w:t>
      </w:r>
      <w:r>
        <w:rPr>
          <w:rStyle w:val="7"/>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充分发挥</w:t>
      </w:r>
      <w:r>
        <w:rPr>
          <w:rFonts w:hint="eastAsia" w:ascii="仿宋_GB2312" w:hAnsi="仿宋_GB2312" w:eastAsia="仿宋_GB2312" w:cs="仿宋_GB2312"/>
          <w:i w:val="0"/>
          <w:iCs w:val="0"/>
          <w:caps w:val="0"/>
          <w:color w:val="333333"/>
          <w:spacing w:val="0"/>
          <w:sz w:val="32"/>
          <w:szCs w:val="32"/>
          <w:shd w:val="clear" w:color="auto" w:fill="FFFFFF"/>
          <w:lang w:eastAsia="zh-CN"/>
        </w:rPr>
        <w:t>潮州</w:t>
      </w:r>
      <w:r>
        <w:rPr>
          <w:rFonts w:hint="eastAsia" w:ascii="仿宋_GB2312" w:hAnsi="仿宋_GB2312" w:eastAsia="仿宋_GB2312" w:cs="仿宋_GB2312"/>
          <w:i w:val="0"/>
          <w:iCs w:val="0"/>
          <w:caps w:val="0"/>
          <w:color w:val="333333"/>
          <w:spacing w:val="0"/>
          <w:sz w:val="32"/>
          <w:szCs w:val="32"/>
          <w:shd w:val="clear" w:color="auto" w:fill="FFFFFF"/>
        </w:rPr>
        <w:t>市及各县（市、区）消费者权益保护组织桥梁纽带作用，广泛开展相关法律、法规和政策宣讲培训，提升经营者和消费者守法、懂法、诚信意识，推动社会力量共治共为。  </w:t>
      </w:r>
    </w:p>
    <w:p w14:paraId="23CC0A5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rPr>
      </w:pPr>
      <w:r>
        <w:rPr>
          <w:rStyle w:val="7"/>
          <w:rFonts w:hint="eastAsia" w:ascii="黑体" w:hAnsi="黑体" w:eastAsia="黑体" w:cs="黑体"/>
          <w:b/>
          <w:bCs/>
          <w:i w:val="0"/>
          <w:iCs w:val="0"/>
          <w:caps w:val="0"/>
          <w:color w:val="333333"/>
          <w:spacing w:val="0"/>
          <w:sz w:val="32"/>
          <w:szCs w:val="32"/>
          <w:shd w:val="clear" w:color="auto" w:fill="FFFFFF"/>
        </w:rPr>
        <w:t>第二十</w:t>
      </w:r>
      <w:r>
        <w:rPr>
          <w:rStyle w:val="7"/>
          <w:rFonts w:hint="eastAsia" w:ascii="黑体" w:hAnsi="黑体" w:eastAsia="黑体" w:cs="黑体"/>
          <w:b/>
          <w:bCs/>
          <w:i w:val="0"/>
          <w:iCs w:val="0"/>
          <w:caps w:val="0"/>
          <w:color w:val="333333"/>
          <w:spacing w:val="0"/>
          <w:sz w:val="32"/>
          <w:szCs w:val="32"/>
          <w:shd w:val="clear" w:color="auto" w:fill="FFFFFF"/>
          <w:lang w:eastAsia="zh-CN"/>
        </w:rPr>
        <w:t>三</w:t>
      </w:r>
      <w:r>
        <w:rPr>
          <w:rStyle w:val="7"/>
          <w:rFonts w:hint="eastAsia" w:ascii="黑体" w:hAnsi="黑体" w:eastAsia="黑体" w:cs="黑体"/>
          <w:b/>
          <w:bCs/>
          <w:i w:val="0"/>
          <w:iCs w:val="0"/>
          <w:caps w:val="0"/>
          <w:color w:val="333333"/>
          <w:spacing w:val="0"/>
          <w:sz w:val="32"/>
          <w:szCs w:val="32"/>
          <w:shd w:val="clear" w:color="auto" w:fill="FFFFFF"/>
        </w:rPr>
        <w:t>条</w:t>
      </w:r>
      <w:r>
        <w:rPr>
          <w:rStyle w:val="7"/>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法律、法规、规章和上级规范性文件对本暂行规定内容有其他规定的，从其规定。</w:t>
      </w:r>
    </w:p>
    <w:p w14:paraId="2998E07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黑体" w:hAnsi="黑体" w:eastAsia="黑体" w:cs="黑体"/>
          <w:b/>
          <w:bCs/>
          <w:i w:val="0"/>
          <w:iCs w:val="0"/>
          <w:caps w:val="0"/>
          <w:color w:val="333333"/>
          <w:spacing w:val="0"/>
          <w:sz w:val="32"/>
          <w:szCs w:val="32"/>
          <w:shd w:val="clear" w:color="auto" w:fill="FFFFFF"/>
        </w:rPr>
      </w:pPr>
    </w:p>
    <w:p w14:paraId="44E28CB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0" w:firstLineChars="0"/>
        <w:jc w:val="center"/>
        <w:textAlignment w:val="auto"/>
        <w:rPr>
          <w:rFonts w:hint="eastAsia" w:ascii="黑体" w:hAnsi="黑体" w:eastAsia="黑体" w:cs="黑体"/>
          <w:b/>
          <w:bCs/>
          <w:sz w:val="32"/>
          <w:szCs w:val="32"/>
        </w:rPr>
      </w:pPr>
      <w:r>
        <w:rPr>
          <w:rFonts w:hint="eastAsia" w:ascii="黑体" w:hAnsi="黑体" w:eastAsia="黑体" w:cs="黑体"/>
          <w:b/>
          <w:bCs/>
          <w:i w:val="0"/>
          <w:iCs w:val="0"/>
          <w:caps w:val="0"/>
          <w:color w:val="333333"/>
          <w:spacing w:val="0"/>
          <w:sz w:val="32"/>
          <w:szCs w:val="32"/>
          <w:shd w:val="clear" w:color="auto" w:fill="FFFFFF"/>
        </w:rPr>
        <w:t>第</w:t>
      </w:r>
      <w:r>
        <w:rPr>
          <w:rFonts w:hint="eastAsia" w:ascii="黑体" w:hAnsi="黑体" w:eastAsia="黑体" w:cs="黑体"/>
          <w:b/>
          <w:bCs/>
          <w:i w:val="0"/>
          <w:iCs w:val="0"/>
          <w:caps w:val="0"/>
          <w:color w:val="333333"/>
          <w:spacing w:val="0"/>
          <w:sz w:val="32"/>
          <w:szCs w:val="32"/>
          <w:shd w:val="clear" w:color="auto" w:fill="FFFFFF"/>
          <w:lang w:eastAsia="zh-CN"/>
        </w:rPr>
        <w:t>六</w:t>
      </w:r>
      <w:r>
        <w:rPr>
          <w:rFonts w:hint="eastAsia" w:ascii="黑体" w:hAnsi="黑体" w:eastAsia="黑体" w:cs="黑体"/>
          <w:b/>
          <w:bCs/>
          <w:i w:val="0"/>
          <w:iCs w:val="0"/>
          <w:caps w:val="0"/>
          <w:color w:val="333333"/>
          <w:spacing w:val="0"/>
          <w:sz w:val="32"/>
          <w:szCs w:val="32"/>
          <w:shd w:val="clear" w:color="auto" w:fill="FFFFFF"/>
        </w:rPr>
        <w:t>章   附    则</w:t>
      </w:r>
    </w:p>
    <w:p w14:paraId="79FB376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left"/>
        <w:rPr>
          <w:rFonts w:hint="eastAsia" w:ascii="仿宋_GB2312" w:hAnsi="仿宋_GB2312" w:eastAsia="仿宋_GB2312" w:cs="仿宋_GB2312"/>
          <w:sz w:val="32"/>
          <w:szCs w:val="32"/>
        </w:rPr>
      </w:pPr>
      <w:r>
        <w:rPr>
          <w:rFonts w:hint="eastAsia" w:ascii="黑体" w:hAnsi="黑体" w:eastAsia="黑体" w:cs="黑体"/>
          <w:b/>
          <w:bCs/>
          <w:i w:val="0"/>
          <w:iCs w:val="0"/>
          <w:caps w:val="0"/>
          <w:color w:val="333333"/>
          <w:spacing w:val="0"/>
          <w:sz w:val="32"/>
          <w:szCs w:val="32"/>
          <w:shd w:val="clear" w:color="auto" w:fill="FFFFFF"/>
          <w:lang w:eastAsia="zh-CN"/>
        </w:rPr>
        <w:t>第二十四条</w:t>
      </w:r>
      <w:r>
        <w:rPr>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本暂行规定由</w:t>
      </w:r>
      <w:r>
        <w:rPr>
          <w:rFonts w:hint="eastAsia" w:ascii="仿宋_GB2312" w:hAnsi="仿宋_GB2312" w:eastAsia="仿宋_GB2312" w:cs="仿宋_GB2312"/>
          <w:i w:val="0"/>
          <w:iCs w:val="0"/>
          <w:caps w:val="0"/>
          <w:color w:val="333333"/>
          <w:spacing w:val="0"/>
          <w:sz w:val="32"/>
          <w:szCs w:val="32"/>
          <w:shd w:val="clear" w:color="auto" w:fill="FFFFFF"/>
          <w:lang w:eastAsia="zh-CN"/>
        </w:rPr>
        <w:t>潮州</w:t>
      </w:r>
      <w:r>
        <w:rPr>
          <w:rFonts w:hint="eastAsia" w:ascii="仿宋_GB2312" w:hAnsi="仿宋_GB2312" w:eastAsia="仿宋_GB2312" w:cs="仿宋_GB2312"/>
          <w:i w:val="0"/>
          <w:iCs w:val="0"/>
          <w:caps w:val="0"/>
          <w:color w:val="333333"/>
          <w:spacing w:val="0"/>
          <w:sz w:val="32"/>
          <w:szCs w:val="32"/>
          <w:shd w:val="clear" w:color="auto" w:fill="FFFFFF"/>
        </w:rPr>
        <w:t>市市场监督管理局负责解释。</w:t>
      </w:r>
    </w:p>
    <w:p w14:paraId="1702C31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jc w:val="both"/>
        <w:rPr>
          <w:rFonts w:hint="eastAsia" w:ascii="仿宋_GB2312" w:hAnsi="仿宋_GB2312" w:eastAsia="仿宋_GB2312" w:cs="仿宋_GB2312"/>
          <w:sz w:val="32"/>
          <w:szCs w:val="32"/>
        </w:rPr>
      </w:pPr>
      <w:r>
        <w:rPr>
          <w:rFonts w:hint="eastAsia" w:ascii="黑体" w:hAnsi="黑体" w:eastAsia="黑体" w:cs="黑体"/>
          <w:b/>
          <w:bCs/>
          <w:i w:val="0"/>
          <w:iCs w:val="0"/>
          <w:caps w:val="0"/>
          <w:color w:val="333333"/>
          <w:spacing w:val="0"/>
          <w:sz w:val="32"/>
          <w:szCs w:val="32"/>
          <w:shd w:val="clear" w:color="auto" w:fill="FFFFFF"/>
          <w:lang w:eastAsia="zh-CN"/>
        </w:rPr>
        <w:t>第二十五条</w:t>
      </w:r>
      <w:r>
        <w:rPr>
          <w:rFonts w:hint="eastAsia" w:ascii="黑体" w:hAnsi="黑体" w:eastAsia="黑体" w:cs="黑体"/>
          <w:b/>
          <w:bCs/>
          <w:i w:val="0"/>
          <w:iCs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iCs w:val="0"/>
          <w:caps w:val="0"/>
          <w:color w:val="333333"/>
          <w:spacing w:val="0"/>
          <w:sz w:val="32"/>
          <w:szCs w:val="32"/>
          <w:shd w:val="clear" w:color="auto" w:fill="FFFFFF"/>
        </w:rPr>
        <w:t>本暂行规定自2025年</w:t>
      </w:r>
      <w:r>
        <w:rPr>
          <w:rFonts w:hint="eastAsia" w:ascii="仿宋_GB2312" w:hAnsi="仿宋_GB2312" w:eastAsia="仿宋_GB2312" w:cs="仿宋_GB2312"/>
          <w:i w:val="0"/>
          <w:iCs w:val="0"/>
          <w:caps w:val="0"/>
          <w:color w:val="333333"/>
          <w:spacing w:val="0"/>
          <w:sz w:val="32"/>
          <w:szCs w:val="32"/>
          <w:shd w:val="clear" w:color="auto" w:fill="FFFFFF"/>
          <w:lang w:val="en-US" w:eastAsia="zh-CN"/>
        </w:rPr>
        <w:t>XX</w:t>
      </w:r>
      <w:r>
        <w:rPr>
          <w:rFonts w:hint="eastAsia" w:ascii="仿宋_GB2312" w:hAnsi="仿宋_GB2312" w:eastAsia="仿宋_GB2312" w:cs="仿宋_GB2312"/>
          <w:i w:val="0"/>
          <w:iCs w:val="0"/>
          <w:caps w:val="0"/>
          <w:color w:val="333333"/>
          <w:spacing w:val="0"/>
          <w:sz w:val="32"/>
          <w:szCs w:val="32"/>
          <w:shd w:val="clear" w:color="auto" w:fill="FFFFFF"/>
        </w:rPr>
        <w:t>月</w:t>
      </w:r>
      <w:r>
        <w:rPr>
          <w:rFonts w:hint="eastAsia" w:ascii="仿宋_GB2312" w:hAnsi="仿宋_GB2312" w:eastAsia="仿宋_GB2312" w:cs="仿宋_GB2312"/>
          <w:i w:val="0"/>
          <w:iCs w:val="0"/>
          <w:caps w:val="0"/>
          <w:color w:val="333333"/>
          <w:spacing w:val="0"/>
          <w:sz w:val="32"/>
          <w:szCs w:val="32"/>
          <w:shd w:val="clear" w:color="auto" w:fill="FFFFFF"/>
          <w:lang w:val="en-US" w:eastAsia="zh-CN"/>
        </w:rPr>
        <w:t>XX</w:t>
      </w:r>
      <w:r>
        <w:rPr>
          <w:rFonts w:hint="eastAsia" w:ascii="仿宋_GB2312" w:hAnsi="仿宋_GB2312" w:eastAsia="仿宋_GB2312" w:cs="仿宋_GB2312"/>
          <w:i w:val="0"/>
          <w:iCs w:val="0"/>
          <w:caps w:val="0"/>
          <w:color w:val="333333"/>
          <w:spacing w:val="0"/>
          <w:sz w:val="32"/>
          <w:szCs w:val="32"/>
          <w:shd w:val="clear" w:color="auto" w:fill="FFFFFF"/>
        </w:rPr>
        <w:t>日起施行，有效期</w:t>
      </w:r>
      <w:r>
        <w:rPr>
          <w:rFonts w:hint="eastAsia" w:ascii="仿宋_GB2312" w:hAnsi="仿宋_GB2312" w:eastAsia="仿宋_GB2312" w:cs="仿宋_GB2312"/>
          <w:i w:val="0"/>
          <w:iCs w:val="0"/>
          <w:caps w:val="0"/>
          <w:color w:val="333333"/>
          <w:spacing w:val="0"/>
          <w:sz w:val="32"/>
          <w:szCs w:val="32"/>
          <w:shd w:val="clear" w:color="auto" w:fill="FFFFFF"/>
          <w:lang w:eastAsia="zh-CN"/>
        </w:rPr>
        <w:t>至</w:t>
      </w:r>
      <w:r>
        <w:rPr>
          <w:rFonts w:hint="eastAsia" w:ascii="仿宋_GB2312" w:hAnsi="仿宋_GB2312" w:eastAsia="仿宋_GB2312" w:cs="仿宋_GB2312"/>
          <w:i w:val="0"/>
          <w:iCs w:val="0"/>
          <w:caps w:val="0"/>
          <w:color w:val="333333"/>
          <w:spacing w:val="0"/>
          <w:sz w:val="32"/>
          <w:szCs w:val="32"/>
          <w:shd w:val="clear" w:color="auto" w:fill="FFFFFF"/>
          <w:lang w:val="en-US" w:eastAsia="zh-CN"/>
        </w:rPr>
        <w:t>2028年XX</w:t>
      </w:r>
      <w:r>
        <w:rPr>
          <w:rFonts w:hint="eastAsia" w:ascii="仿宋_GB2312" w:hAnsi="仿宋_GB2312" w:eastAsia="仿宋_GB2312" w:cs="仿宋_GB2312"/>
          <w:i w:val="0"/>
          <w:iCs w:val="0"/>
          <w:caps w:val="0"/>
          <w:color w:val="333333"/>
          <w:spacing w:val="0"/>
          <w:sz w:val="32"/>
          <w:szCs w:val="32"/>
          <w:shd w:val="clear" w:color="auto" w:fill="FFFFFF"/>
        </w:rPr>
        <w:t>月</w:t>
      </w:r>
      <w:r>
        <w:rPr>
          <w:rFonts w:hint="eastAsia" w:ascii="仿宋_GB2312" w:hAnsi="仿宋_GB2312" w:eastAsia="仿宋_GB2312" w:cs="仿宋_GB2312"/>
          <w:i w:val="0"/>
          <w:iCs w:val="0"/>
          <w:caps w:val="0"/>
          <w:color w:val="333333"/>
          <w:spacing w:val="0"/>
          <w:sz w:val="32"/>
          <w:szCs w:val="32"/>
          <w:shd w:val="clear" w:color="auto" w:fill="FFFFFF"/>
          <w:lang w:val="en-US" w:eastAsia="zh-CN"/>
        </w:rPr>
        <w:t>XX</w:t>
      </w:r>
      <w:r>
        <w:rPr>
          <w:rFonts w:hint="eastAsia" w:ascii="仿宋_GB2312" w:hAnsi="仿宋_GB2312" w:eastAsia="仿宋_GB2312" w:cs="仿宋_GB2312"/>
          <w:i w:val="0"/>
          <w:iCs w:val="0"/>
          <w:caps w:val="0"/>
          <w:color w:val="333333"/>
          <w:spacing w:val="0"/>
          <w:sz w:val="32"/>
          <w:szCs w:val="32"/>
          <w:shd w:val="clear" w:color="auto" w:fill="FFFFFF"/>
        </w:rPr>
        <w:t>日。</w:t>
      </w:r>
    </w:p>
    <w:p w14:paraId="4D4A93C6">
      <w:pPr>
        <w:keepNext w:val="0"/>
        <w:keepLines w:val="0"/>
        <w:pageBreakBefore w:val="0"/>
        <w:kinsoku/>
        <w:wordWrap/>
        <w:overflowPunct/>
        <w:topLinePunct w:val="0"/>
        <w:autoSpaceDE/>
        <w:autoSpaceDN/>
        <w:bidi w:val="0"/>
        <w:adjustRightInd/>
        <w:snapToGrid/>
        <w:spacing w:line="560" w:lineRule="exact"/>
        <w:ind w:firstLine="420" w:firstLineChars="200"/>
        <w:jc w:val="both"/>
      </w:pPr>
    </w:p>
    <w:p w14:paraId="31A0391B">
      <w:pPr>
        <w:keepNext w:val="0"/>
        <w:keepLines w:val="0"/>
        <w:pageBreakBefore w:val="0"/>
        <w:kinsoku/>
        <w:wordWrap/>
        <w:overflowPunct/>
        <w:topLinePunct w:val="0"/>
        <w:autoSpaceDE/>
        <w:autoSpaceDN/>
        <w:bidi w:val="0"/>
        <w:adjustRightInd/>
        <w:snapToGrid/>
        <w:spacing w:line="560" w:lineRule="exact"/>
        <w:ind w:firstLine="420" w:firstLineChars="200"/>
        <w:jc w:val="both"/>
      </w:pPr>
    </w:p>
    <w:sectPr>
      <w:footerReference r:id="rId3" w:type="default"/>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10022FF" w:usb1="C000E47F" w:usb2="00000029" w:usb3="00000000" w:csb0="200001DF" w:csb1="20000000"/>
  </w:font>
  <w:font w:name="思源宋体">
    <w:panose1 w:val="02020400000000000000"/>
    <w:charset w:val="86"/>
    <w:family w:val="auto"/>
    <w:pitch w:val="default"/>
    <w:sig w:usb0="3000008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3D27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BDC0626">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7BDC0626">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FF52B3"/>
    <w:multiLevelType w:val="singleLevel"/>
    <w:tmpl w:val="DFFF52B3"/>
    <w:lvl w:ilvl="0" w:tentative="0">
      <w:start w:val="1"/>
      <w:numFmt w:val="chineseCounting"/>
      <w:suff w:val="nothing"/>
      <w:lvlText w:val="（%1）"/>
      <w:lvlJc w:val="left"/>
      <w:rPr>
        <w:rFonts w:hint="eastAsia"/>
      </w:rPr>
    </w:lvl>
  </w:abstractNum>
  <w:abstractNum w:abstractNumId="1">
    <w:nsid w:val="E7D7E6F5"/>
    <w:multiLevelType w:val="singleLevel"/>
    <w:tmpl w:val="E7D7E6F5"/>
    <w:lvl w:ilvl="0" w:tentative="0">
      <w:start w:val="1"/>
      <w:numFmt w:val="chineseCounting"/>
      <w:suff w:val="nothing"/>
      <w:lvlText w:val="（%1）"/>
      <w:lvlJc w:val="left"/>
      <w:rPr>
        <w:rFonts w:hint="eastAsia"/>
      </w:rPr>
    </w:lvl>
  </w:abstractNum>
  <w:abstractNum w:abstractNumId="2">
    <w:nsid w:val="F4DFFD1F"/>
    <w:multiLevelType w:val="singleLevel"/>
    <w:tmpl w:val="F4DFFD1F"/>
    <w:lvl w:ilvl="0" w:tentative="0">
      <w:start w:val="2"/>
      <w:numFmt w:val="chineseCounting"/>
      <w:suff w:val="space"/>
      <w:lvlText w:val="第%1章"/>
      <w:lvlJc w:val="left"/>
      <w:rPr>
        <w:rFonts w:hint="eastAsia"/>
      </w:rPr>
    </w:lvl>
  </w:abstractNum>
  <w:abstractNum w:abstractNumId="3">
    <w:nsid w:val="FF731E66"/>
    <w:multiLevelType w:val="singleLevel"/>
    <w:tmpl w:val="FF731E66"/>
    <w:lvl w:ilvl="0" w:tentative="0">
      <w:start w:val="1"/>
      <w:numFmt w:val="chineseCounting"/>
      <w:suff w:val="nothing"/>
      <w:lvlText w:val="（%1）"/>
      <w:lvlJc w:val="left"/>
      <w:rPr>
        <w:rFonts w:hint="eastAsia"/>
      </w:rPr>
    </w:lvl>
  </w:abstractNum>
  <w:abstractNum w:abstractNumId="4">
    <w:nsid w:val="77EA6ADC"/>
    <w:multiLevelType w:val="singleLevel"/>
    <w:tmpl w:val="77EA6ADC"/>
    <w:lvl w:ilvl="0" w:tentative="0">
      <w:start w:val="1"/>
      <w:numFmt w:val="chineseCounting"/>
      <w:suff w:val="nothing"/>
      <w:lvlText w:val="（%1）"/>
      <w:lvlJc w:val="left"/>
      <w:rPr>
        <w:rFonts w:hint="eastAsia"/>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FF127F"/>
    <w:rsid w:val="07CFEA2F"/>
    <w:rsid w:val="1C680C98"/>
    <w:rsid w:val="26F31B5A"/>
    <w:rsid w:val="37CE779B"/>
    <w:rsid w:val="39FF7ED3"/>
    <w:rsid w:val="4E9718FE"/>
    <w:rsid w:val="57BDC9FD"/>
    <w:rsid w:val="59CE4CB5"/>
    <w:rsid w:val="5BB6AE87"/>
    <w:rsid w:val="5DFAE66E"/>
    <w:rsid w:val="5F73B7B5"/>
    <w:rsid w:val="5FDB55F8"/>
    <w:rsid w:val="5FDD1373"/>
    <w:rsid w:val="6FBF4A69"/>
    <w:rsid w:val="6FEED262"/>
    <w:rsid w:val="6FEED563"/>
    <w:rsid w:val="76ED4050"/>
    <w:rsid w:val="77DF8FB5"/>
    <w:rsid w:val="77FF127F"/>
    <w:rsid w:val="7C97DB6B"/>
    <w:rsid w:val="7CEC079F"/>
    <w:rsid w:val="7E1F8946"/>
    <w:rsid w:val="7F54E0A9"/>
    <w:rsid w:val="7FB71922"/>
    <w:rsid w:val="7FF64014"/>
    <w:rsid w:val="D1FFA88D"/>
    <w:rsid w:val="DF6546B3"/>
    <w:rsid w:val="EB3FE79F"/>
    <w:rsid w:val="F5DE522C"/>
    <w:rsid w:val="F7FF4F2B"/>
    <w:rsid w:val="FB9D97E7"/>
    <w:rsid w:val="FFD56290"/>
    <w:rsid w:val="FFD69F5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108</TotalTime>
  <ScaleCrop>false</ScaleCrop>
  <LinksUpToDate>false</LinksUpToDate>
  <CharactersWithSpaces>0</CharactersWithSpaces>
  <Application>WPS Office_12.8.2.1118_F1E327BC-269C-435d-A152-05C5408002CA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2025-04-03T15:28:00Z</dcterms:created>
  <dc:creator>scjd-049</dc:creator>
  <cp:lastModifiedBy>八戒你瘦了</cp:lastModifiedBy>
  <cp:lastPrinted>2025-04-27T16:25:16Z</cp:lastPrinted>
  <dcterms:modified xsi:type="dcterms:W3CDTF">2025-04-27T16:30:27Z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2052-12.8.2.1118</vt:lpwstr>
  </property>
  <property fmtid="{D5CDD505-2E9C-101B-9397-08002B2CF9AE}" pid="3" name="ICV">
    <vt:lpwstr>67D88E550DA593CB784B076869647183</vt:lpwstr>
  </property>
</Properties>
</file>