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附件1：</w:t>
      </w:r>
    </w:p>
    <w:p>
      <w:pPr>
        <w:pStyle w:val="2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pStyle w:val="2"/>
        <w:widowControl w:val="0"/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支持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潮州市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val="en-US" w:eastAsia="zh-CN"/>
        </w:rPr>
        <w:t>2023年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4"/>
          <w:szCs w:val="44"/>
          <w:shd w:val="clear" w:color="auto" w:fill="FFFFFF"/>
          <w:lang w:eastAsia="zh-CN"/>
        </w:rPr>
        <w:t>鼓励企业增资扩产专项资金项目申报指南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一、申报对象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项目单位在潮州市内登记注册，具有独立法人资格、健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全的财务管理制度，依法纳税的工业企业。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1.项目实施地在潮州市境内，并已取得投资主管部门核准、备案等审批文件；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2.2022年1月1日至2023年6月30日期间，项目新增固定资产投资达5000万元以上。且在建设期间新增实际完成固定资产投资额须按</w:t>
      </w:r>
      <w:r>
        <w:rPr>
          <w:rFonts w:hint="eastAsia" w:ascii="FangSong_GB2312" w:hAnsi="FangSong_GB2312" w:eastAsia="FangSong_GB2312"/>
          <w:sz w:val="32"/>
        </w:rPr>
        <w:t>固定资产投资统计范围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规定纳入本市固定资产投资统计并完成项目完工验收；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3.项目未获得过市级制造业项目投资奖励的支持；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4.项目单位近3年内在质量、安全、环保等方面未发生重大事故，不属于失信被执行人。项目符合国家和省相关领域政策规定，以及环保、节能、安全等有关政策法规要求，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项目不存在未按规定办理节能审查、节能审查未获通过或未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落实节能审查意见的情形。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三、支持标准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对企业新增固定资产投资达5000万元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（不含税）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以上的制造业项目,按其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2022年1月1日至2023年6月30日期间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新增实际固定资产投资额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（不含税）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不超过2%的比例给予事后奖励,单个项目奖励资金额最高可达400万元。奖励资金按 4:6 的比例由市及项目属地县（区）两级财政共同承担。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四、申报材料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1.奖励资金申请表；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2.项目单位营业执照复印件；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3.项目实施地投资主管部门核准、审批和备案等立项文件；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4.项目专项审计报告（含固定资产投资相关情况）及项目建设期内的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年度审计报告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5.项目申报投资奖励的新增实际固定资产投资明细清单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和新增实际固定资产投资额相关凭证。通过发票、合同、银行付款凭证、项目审计报告等确认项目投资规模及实际完成固定资产投资情况；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6.项目建设现场施工进度、厂房、设备（含铭牌）等能证明项目投资真实性的图片资料；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7.项目承诺书，项目承诺书应包括材料真实性、近5年来在专项资金申报、管理、使用过程中不存在违法违规行为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等情况的承诺书；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8.项目建设涉及的环评、节能、安全、规划用地、施工许可等证明文件。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9.项目纳统证明及项目完工验收证明材料。</w:t>
      </w:r>
    </w:p>
    <w:p>
      <w:pPr>
        <w:pStyle w:val="2"/>
        <w:numPr>
          <w:ilvl w:val="0"/>
          <w:numId w:val="0"/>
        </w:numPr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10.各地其他需要提供的材料。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C7C5F"/>
    <w:rsid w:val="12A26291"/>
    <w:rsid w:val="18A02743"/>
    <w:rsid w:val="21B651F4"/>
    <w:rsid w:val="38C36598"/>
    <w:rsid w:val="6A2C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2"/>
        <w:tab w:val="left" w:pos="3372"/>
        <w:tab w:val="left" w:pos="3653"/>
      </w:tabs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2023-06-01T09:49:00Z</dcterms:created>
  <dc:creator>l</dc:creator>
  <cp:lastModifiedBy>l</cp:lastModifiedBy>
  <cp:lastPrinted>2023-07-11T04:02:00Z</cp:lastPrinted>
  <dcterms:modified xsi:type="dcterms:W3CDTF">2023-07-18T02:04:35Z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