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bCs/>
          <w:kern w:val="0"/>
          <w:highlight w:val="none"/>
        </w:rPr>
      </w:pPr>
      <w:r>
        <w:rPr>
          <w:rFonts w:hint="eastAsia" w:ascii="宋体" w:hAnsi="宋体"/>
          <w:b/>
          <w:bCs/>
          <w:kern w:val="0"/>
          <w:highlight w:val="none"/>
        </w:rPr>
        <w:t>版本号：202</w:t>
      </w:r>
      <w:r>
        <w:rPr>
          <w:rFonts w:hint="eastAsia" w:ascii="宋体" w:hAnsi="宋体"/>
          <w:b/>
          <w:bCs/>
          <w:kern w:val="0"/>
          <w:highlight w:val="none"/>
          <w:lang w:val="en-US" w:eastAsia="zh-CN"/>
        </w:rPr>
        <w:t>2</w:t>
      </w:r>
      <w:r>
        <w:rPr>
          <w:rFonts w:hint="eastAsia" w:ascii="宋体" w:hAnsi="宋体"/>
          <w:b/>
          <w:bCs/>
          <w:kern w:val="0"/>
          <w:highlight w:val="none"/>
        </w:rPr>
        <w:t>年</w:t>
      </w:r>
      <w:r>
        <w:rPr>
          <w:rFonts w:hint="eastAsia" w:ascii="宋体" w:hAnsi="宋体"/>
          <w:b/>
          <w:bCs/>
          <w:kern w:val="0"/>
          <w:highlight w:val="none"/>
          <w:lang w:val="en-US" w:eastAsia="zh-CN"/>
        </w:rPr>
        <w:t>12</w:t>
      </w:r>
      <w:r>
        <w:rPr>
          <w:rFonts w:hint="eastAsia" w:ascii="宋体" w:hAnsi="宋体"/>
          <w:b/>
          <w:bCs/>
          <w:kern w:val="0"/>
          <w:highlight w:val="none"/>
        </w:rPr>
        <w:t>月版</w:t>
      </w:r>
    </w:p>
    <w:p>
      <w:pPr>
        <w:adjustRightInd w:val="0"/>
        <w:snapToGrid w:val="0"/>
        <w:spacing w:line="360" w:lineRule="auto"/>
        <w:jc w:val="left"/>
        <w:rPr>
          <w:rFonts w:ascii="宋体" w:hAnsi="宋体"/>
          <w:b/>
          <w:bCs/>
          <w:kern w:val="0"/>
          <w:highlight w:val="none"/>
        </w:rPr>
      </w:pPr>
    </w:p>
    <w:p>
      <w:pPr>
        <w:adjustRightInd w:val="0"/>
        <w:snapToGrid w:val="0"/>
        <w:spacing w:line="360" w:lineRule="auto"/>
        <w:jc w:val="center"/>
        <w:rPr>
          <w:rFonts w:ascii="黑体" w:hAnsi="宋体" w:eastAsia="黑体"/>
          <w:b/>
          <w:kern w:val="0"/>
          <w:sz w:val="72"/>
          <w:szCs w:val="72"/>
          <w:highlight w:val="none"/>
        </w:rPr>
      </w:pP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72"/>
          <w:szCs w:val="72"/>
          <w:highlight w:val="none"/>
          <w:lang w:eastAsia="zh-CN"/>
        </w:rPr>
        <w:t>潮州市</w:t>
      </w:r>
      <w:r>
        <w:rPr>
          <w:rFonts w:hint="eastAsia" w:ascii="黑体" w:hAnsi="宋体" w:eastAsia="黑体"/>
          <w:b/>
          <w:kern w:val="0"/>
          <w:sz w:val="72"/>
          <w:szCs w:val="72"/>
          <w:highlight w:val="none"/>
        </w:rPr>
        <w:t>建设工程</w:t>
      </w: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72"/>
          <w:szCs w:val="72"/>
          <w:highlight w:val="none"/>
          <w:lang w:eastAsia="zh-CN"/>
        </w:rPr>
        <w:t>监理</w:t>
      </w:r>
      <w:r>
        <w:rPr>
          <w:rFonts w:hint="eastAsia" w:ascii="黑体" w:hAnsi="宋体" w:eastAsia="黑体"/>
          <w:b/>
          <w:kern w:val="0"/>
          <w:sz w:val="72"/>
          <w:szCs w:val="72"/>
          <w:highlight w:val="none"/>
        </w:rPr>
        <w:t>类招标文件</w:t>
      </w:r>
    </w:p>
    <w:p>
      <w:pPr>
        <w:adjustRightInd w:val="0"/>
        <w:snapToGrid w:val="0"/>
        <w:spacing w:line="360" w:lineRule="auto"/>
        <w:jc w:val="center"/>
        <w:rPr>
          <w:rFonts w:asciiTheme="minorEastAsia" w:hAnsiTheme="minorEastAsia"/>
          <w:b/>
          <w:kern w:val="0"/>
          <w:sz w:val="36"/>
          <w:szCs w:val="36"/>
          <w:highlight w:val="none"/>
        </w:rPr>
      </w:pPr>
    </w:p>
    <w:p>
      <w:pPr>
        <w:adjustRightInd w:val="0"/>
        <w:snapToGrid w:val="0"/>
        <w:spacing w:line="360" w:lineRule="auto"/>
        <w:jc w:val="center"/>
        <w:rPr>
          <w:rFonts w:asciiTheme="minorEastAsia" w:hAnsiTheme="minorEastAsia"/>
          <w:b/>
          <w:kern w:val="0"/>
          <w:sz w:val="36"/>
          <w:szCs w:val="36"/>
          <w:highlight w:val="none"/>
        </w:rPr>
      </w:pPr>
      <w:r>
        <w:rPr>
          <w:rFonts w:hint="eastAsia" w:asciiTheme="minorEastAsia" w:hAnsiTheme="minorEastAsia"/>
          <w:b/>
          <w:kern w:val="0"/>
          <w:sz w:val="36"/>
          <w:szCs w:val="36"/>
          <w:highlight w:val="none"/>
        </w:rPr>
        <w:t>（示范文本</w:t>
      </w:r>
      <w:r>
        <w:rPr>
          <w:rFonts w:hint="eastAsia" w:ascii="宋体" w:hAnsi="宋体" w:eastAsia="宋体" w:cs="宋体"/>
          <w:b/>
          <w:kern w:val="0"/>
          <w:sz w:val="36"/>
          <w:szCs w:val="36"/>
          <w:highlight w:val="none"/>
        </w:rPr>
        <w:t>·</w:t>
      </w:r>
      <w:r>
        <w:rPr>
          <w:rFonts w:hint="eastAsia" w:asciiTheme="minorEastAsia" w:hAnsiTheme="minorEastAsia"/>
          <w:b/>
          <w:kern w:val="0"/>
          <w:sz w:val="36"/>
          <w:szCs w:val="36"/>
          <w:highlight w:val="none"/>
          <w:lang w:val="en-US" w:eastAsia="zh-CN"/>
        </w:rPr>
        <w:t>试行</w:t>
      </w:r>
      <w:r>
        <w:rPr>
          <w:rFonts w:hint="eastAsia" w:asciiTheme="minorEastAsia" w:hAnsiTheme="minorEastAsia"/>
          <w:b/>
          <w:kern w:val="0"/>
          <w:sz w:val="36"/>
          <w:szCs w:val="36"/>
          <w:highlight w:val="none"/>
        </w:rPr>
        <w:t>）</w:t>
      </w:r>
    </w:p>
    <w:p>
      <w:pPr>
        <w:adjustRightInd w:val="0"/>
        <w:snapToGrid w:val="0"/>
        <w:spacing w:line="360" w:lineRule="auto"/>
        <w:jc w:val="center"/>
        <w:rPr>
          <w:rFonts w:ascii="黑体" w:hAnsi="宋体" w:eastAsia="黑体"/>
          <w:b/>
          <w:kern w:val="0"/>
          <w:sz w:val="72"/>
          <w:szCs w:val="72"/>
          <w:highlight w:val="none"/>
        </w:rPr>
      </w:pP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lang w:eastAsia="zh-CN"/>
        </w:rPr>
        <w:t>项目</w:t>
      </w:r>
      <w:r>
        <w:rPr>
          <w:rFonts w:hint="eastAsia" w:ascii="宋体" w:hAnsi="宋体"/>
          <w:kern w:val="0"/>
          <w:sz w:val="28"/>
          <w:szCs w:val="28"/>
          <w:highlight w:val="none"/>
        </w:rPr>
        <w:t>名称：</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rPr>
        <w:t>招 标 人：</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rPr>
        <w:t>招标代理机构：</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r>
        <w:rPr>
          <w:rFonts w:hint="eastAsia" w:ascii="宋体" w:hAnsi="宋体"/>
          <w:kern w:val="0"/>
          <w:sz w:val="28"/>
          <w:szCs w:val="28"/>
          <w:highlight w:val="none"/>
        </w:rPr>
        <w:t>招标代理机构</w:t>
      </w:r>
      <w:r>
        <w:rPr>
          <w:rFonts w:hint="eastAsia" w:ascii="宋体" w:hAnsi="宋体"/>
          <w:kern w:val="0"/>
          <w:sz w:val="28"/>
          <w:szCs w:val="28"/>
          <w:highlight w:val="none"/>
          <w:lang w:eastAsia="zh-CN"/>
        </w:rPr>
        <w:t>项目负责人</w:t>
      </w:r>
      <w:r>
        <w:rPr>
          <w:rFonts w:hint="eastAsia" w:ascii="宋体" w:hAnsi="宋体"/>
          <w:kern w:val="0"/>
          <w:sz w:val="28"/>
          <w:szCs w:val="28"/>
          <w:highlight w:val="none"/>
        </w:rPr>
        <w:t>：</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p>
    <w:p>
      <w:pPr>
        <w:adjustRightInd w:val="0"/>
        <w:snapToGrid w:val="0"/>
        <w:spacing w:line="360" w:lineRule="auto"/>
        <w:ind w:firstLine="560" w:firstLineChars="200"/>
        <w:jc w:val="left"/>
        <w:rPr>
          <w:rFonts w:ascii="宋体" w:hAnsi="宋体"/>
          <w:kern w:val="0"/>
          <w:sz w:val="28"/>
          <w:szCs w:val="28"/>
          <w:highlight w:val="none"/>
          <w:u w:val="single"/>
        </w:rPr>
      </w:pPr>
    </w:p>
    <w:p>
      <w:pPr>
        <w:rPr>
          <w:rFonts w:hint="eastAsia" w:ascii="宋体" w:hAnsi="宋体" w:eastAsia="宋体" w:cs="宋体"/>
          <w:b/>
          <w:bCs/>
          <w:sz w:val="36"/>
          <w:szCs w:val="36"/>
          <w:highlight w:val="none"/>
          <w:lang w:eastAsia="zh-CN"/>
        </w:rPr>
      </w:pPr>
      <w:r>
        <w:rPr>
          <w:rFonts w:hint="eastAsia" w:ascii="宋体" w:hAnsi="宋体" w:eastAsia="宋体" w:cs="宋体"/>
          <w:b/>
          <w:bCs/>
          <w:sz w:val="36"/>
          <w:szCs w:val="36"/>
          <w:highlight w:val="none"/>
          <w:lang w:eastAsia="zh-CN"/>
        </w:rPr>
        <w:br w:type="page"/>
      </w:r>
    </w:p>
    <w:p>
      <w:pPr>
        <w:adjustRightInd w:val="0"/>
        <w:snapToGrid w:val="0"/>
        <w:spacing w:line="360" w:lineRule="auto"/>
        <w:jc w:val="center"/>
        <w:rPr>
          <w:rFonts w:hint="eastAsia" w:ascii="宋体" w:hAnsi="宋体" w:eastAsia="宋体" w:cs="宋体"/>
          <w:b/>
          <w:bCs/>
          <w:sz w:val="36"/>
          <w:szCs w:val="36"/>
          <w:highlight w:val="none"/>
          <w:lang w:eastAsia="zh-CN"/>
        </w:rPr>
      </w:pPr>
      <w:r>
        <w:rPr>
          <w:rFonts w:hint="eastAsia" w:ascii="宋体" w:hAnsi="宋体" w:eastAsia="宋体" w:cs="宋体"/>
          <w:b/>
          <w:bCs/>
          <w:sz w:val="36"/>
          <w:szCs w:val="36"/>
          <w:highlight w:val="none"/>
          <w:lang w:eastAsia="zh-CN"/>
        </w:rPr>
        <w:t>目</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36"/>
          <w:szCs w:val="36"/>
          <w:highlight w:val="none"/>
          <w:lang w:eastAsia="zh-CN"/>
        </w:rPr>
        <w:t>录</w:t>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TOC \o "1-3" \h \u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_Toc17187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第一章 使用说明</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_Toc17187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_Toc5080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第二章  投标须知</w:t>
      </w:r>
      <w:r>
        <w:rPr>
          <w:rFonts w:hint="eastAsia" w:ascii="宋体" w:hAnsi="宋体" w:eastAsia="宋体" w:cs="宋体"/>
          <w:b w:val="0"/>
          <w:bCs/>
          <w:sz w:val="24"/>
          <w:szCs w:val="24"/>
          <w:highlight w:val="none"/>
        </w:rPr>
        <w:tab/>
      </w:r>
      <w:r>
        <w:rPr>
          <w:rFonts w:hint="eastAsia" w:cs="宋体"/>
          <w:b w:val="0"/>
          <w:bCs/>
          <w:sz w:val="24"/>
          <w:szCs w:val="24"/>
          <w:highlight w:val="none"/>
          <w:lang w:val="en-US" w:eastAsia="zh-CN"/>
        </w:rPr>
        <w:t>8</w:t>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_Toc8591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一、 投标须知前附表</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_Toc8591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8</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_Toc24081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二、投标文件否决性条款</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_Toc24081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_Toc14481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三、招投标须知正文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_Toc14481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14</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_Toc7229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（一）招标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_Toc7229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15</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_Toc17700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（二）投标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_Toc17700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17</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_Toc1632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（三）资格后审</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_Toc1632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21</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_Toc10182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（四）开标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_Toc10182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_Toc2418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（五）评标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_Toc2418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_Toc29510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（六）定标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_Toc29510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26</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_Toc10227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（七）中标通知书</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_Toc10227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31</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_Toc5986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（八）合同授予</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_Toc5986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_Toc13536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第三章  招标人对招标文件的补充/修改</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_Toc13536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34</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_Toc7288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 xml:space="preserve">第四章  </w:t>
      </w:r>
      <w:r>
        <w:rPr>
          <w:rFonts w:hint="eastAsia" w:cs="宋体"/>
          <w:b w:val="0"/>
          <w:bCs/>
          <w:kern w:val="0"/>
          <w:sz w:val="24"/>
          <w:szCs w:val="24"/>
          <w:highlight w:val="none"/>
          <w:lang w:eastAsia="zh-CN"/>
        </w:rPr>
        <w:t>委托人要求</w:t>
      </w:r>
      <w:r>
        <w:rPr>
          <w:rFonts w:hint="eastAsia" w:ascii="宋体" w:hAnsi="宋体" w:eastAsia="宋体" w:cs="宋体"/>
          <w:b w:val="0"/>
          <w:bCs/>
          <w:sz w:val="24"/>
          <w:szCs w:val="24"/>
          <w:highlight w:val="none"/>
        </w:rPr>
        <w:tab/>
      </w:r>
      <w:r>
        <w:rPr>
          <w:rFonts w:hint="eastAsia" w:cs="宋体"/>
          <w:b w:val="0"/>
          <w:bCs/>
          <w:sz w:val="24"/>
          <w:szCs w:val="24"/>
          <w:highlight w:val="none"/>
          <w:lang w:val="en-US" w:eastAsia="zh-CN"/>
        </w:rPr>
        <w:t>3</w:t>
      </w:r>
      <w:r>
        <w:rPr>
          <w:rFonts w:hint="eastAsia" w:ascii="宋体" w:hAnsi="宋体" w:eastAsia="宋体" w:cs="宋体"/>
          <w:b w:val="0"/>
          <w:bCs/>
          <w:sz w:val="24"/>
          <w:szCs w:val="24"/>
          <w:highlight w:val="none"/>
        </w:rPr>
        <w:fldChar w:fldCharType="end"/>
      </w:r>
      <w:r>
        <w:rPr>
          <w:rFonts w:hint="eastAsia" w:cs="宋体"/>
          <w:b w:val="0"/>
          <w:bCs/>
          <w:sz w:val="24"/>
          <w:szCs w:val="24"/>
          <w:highlight w:val="none"/>
          <w:lang w:val="en-US" w:eastAsia="zh-CN"/>
        </w:rPr>
        <w:t>5</w:t>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_Toc23337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第五章  投标文件格式</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_Toc23337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36</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_Toc22487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第六章  合同条款</w:t>
      </w:r>
      <w:r>
        <w:rPr>
          <w:rFonts w:hint="eastAsia" w:ascii="宋体" w:hAnsi="宋体" w:eastAsia="宋体" w:cs="宋体"/>
          <w:b w:val="0"/>
          <w:bCs/>
          <w:sz w:val="24"/>
          <w:szCs w:val="24"/>
          <w:highlight w:val="none"/>
        </w:rPr>
        <w:tab/>
      </w:r>
      <w:r>
        <w:rPr>
          <w:rFonts w:hint="eastAsia" w:cs="宋体"/>
          <w:b w:val="0"/>
          <w:bCs/>
          <w:sz w:val="24"/>
          <w:szCs w:val="24"/>
          <w:highlight w:val="none"/>
          <w:lang w:val="en-US" w:eastAsia="zh-CN"/>
        </w:rPr>
        <w:t>3</w:t>
      </w:r>
      <w:r>
        <w:rPr>
          <w:rFonts w:hint="eastAsia" w:ascii="宋体" w:hAnsi="宋体" w:eastAsia="宋体" w:cs="宋体"/>
          <w:b w:val="0"/>
          <w:bCs/>
          <w:sz w:val="24"/>
          <w:szCs w:val="24"/>
          <w:highlight w:val="none"/>
        </w:rPr>
        <w:fldChar w:fldCharType="end"/>
      </w:r>
      <w:r>
        <w:rPr>
          <w:rFonts w:hint="eastAsia" w:cs="宋体"/>
          <w:b w:val="0"/>
          <w:bCs/>
          <w:sz w:val="24"/>
          <w:szCs w:val="24"/>
          <w:highlight w:val="none"/>
          <w:lang w:val="en-US" w:eastAsia="zh-CN"/>
        </w:rPr>
        <w:t>7</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highlight w:val="none"/>
        </w:rPr>
      </w:pPr>
      <w:r>
        <w:rPr>
          <w:rFonts w:hint="eastAsia" w:ascii="宋体" w:hAnsi="宋体" w:eastAsia="宋体" w:cs="宋体"/>
          <w:b w:val="0"/>
          <w:bCs/>
          <w:sz w:val="24"/>
          <w:szCs w:val="24"/>
          <w:highlight w:val="none"/>
        </w:rPr>
        <w:fldChar w:fldCharType="end"/>
      </w:r>
    </w:p>
    <w:p>
      <w:pPr>
        <w:adjustRightInd w:val="0"/>
        <w:snapToGrid w:val="0"/>
        <w:spacing w:line="360" w:lineRule="auto"/>
        <w:jc w:val="center"/>
        <w:rPr>
          <w:highlight w:val="none"/>
        </w:rPr>
      </w:pPr>
      <w:r>
        <w:rPr>
          <w:highlight w:val="none"/>
        </w:rPr>
        <w:br w:type="page"/>
      </w:r>
    </w:p>
    <w:p>
      <w:pPr>
        <w:adjustRightInd w:val="0"/>
        <w:snapToGrid w:val="0"/>
        <w:spacing w:line="360" w:lineRule="auto"/>
        <w:jc w:val="center"/>
        <w:outlineLvl w:val="0"/>
        <w:rPr>
          <w:rFonts w:ascii="黑体" w:eastAsia="黑体"/>
          <w:b/>
          <w:kern w:val="0"/>
          <w:sz w:val="36"/>
          <w:highlight w:val="none"/>
        </w:rPr>
      </w:pPr>
      <w:bookmarkStart w:id="0" w:name="_Toc17187"/>
      <w:r>
        <w:rPr>
          <w:rFonts w:hint="eastAsia" w:ascii="黑体" w:eastAsia="黑体"/>
          <w:b/>
          <w:kern w:val="0"/>
          <w:sz w:val="36"/>
          <w:highlight w:val="none"/>
        </w:rPr>
        <w:t>第一章 使用说明</w:t>
      </w:r>
      <w:bookmarkEnd w:id="0"/>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一、为了规范工程</w:t>
      </w:r>
      <w:r>
        <w:rPr>
          <w:rFonts w:hint="eastAsia" w:ascii="宋体" w:hAnsi="宋体"/>
          <w:color w:val="000000" w:themeColor="text1"/>
          <w:kern w:val="0"/>
          <w:sz w:val="24"/>
          <w:highlight w:val="none"/>
          <w:lang w:eastAsia="zh-CN"/>
          <w14:textFill>
            <w14:solidFill>
              <w14:schemeClr w14:val="tx1"/>
            </w14:solidFill>
          </w14:textFill>
        </w:rPr>
        <w:t>勘察</w:t>
      </w:r>
      <w:r>
        <w:rPr>
          <w:rFonts w:hint="eastAsia" w:ascii="宋体" w:hAnsi="宋体"/>
          <w:color w:val="000000" w:themeColor="text1"/>
          <w:kern w:val="0"/>
          <w:sz w:val="24"/>
          <w:highlight w:val="none"/>
          <w14:textFill>
            <w14:solidFill>
              <w14:schemeClr w14:val="tx1"/>
            </w14:solidFill>
          </w14:textFill>
        </w:rPr>
        <w:t>招标投标活动，保障招标人和投标人的合法权益，根据国家及潮州市有关法律、法规、规章和规范性文件的规定，结合我市实际，遵循公开、公平、公正和诚实信用的原则，潮州市住房和城乡建设局制定了《潮州市建设工程</w:t>
      </w:r>
      <w:r>
        <w:rPr>
          <w:rFonts w:hint="eastAsia" w:ascii="宋体" w:hAnsi="宋体"/>
          <w:color w:val="000000" w:themeColor="text1"/>
          <w:kern w:val="0"/>
          <w:sz w:val="24"/>
          <w:highlight w:val="none"/>
          <w:lang w:eastAsia="zh-CN"/>
          <w14:textFill>
            <w14:solidFill>
              <w14:schemeClr w14:val="tx1"/>
            </w14:solidFill>
          </w14:textFill>
        </w:rPr>
        <w:t>勘察</w:t>
      </w:r>
      <w:r>
        <w:rPr>
          <w:rFonts w:hint="eastAsia" w:ascii="宋体" w:hAnsi="宋体"/>
          <w:color w:val="000000" w:themeColor="text1"/>
          <w:kern w:val="0"/>
          <w:sz w:val="24"/>
          <w:highlight w:val="none"/>
          <w14:textFill>
            <w14:solidFill>
              <w14:schemeClr w14:val="tx1"/>
            </w14:solidFill>
          </w14:textFill>
        </w:rPr>
        <w:t>类招标文件</w:t>
      </w:r>
      <w:r>
        <w:rPr>
          <w:rFonts w:hint="eastAsia" w:ascii="宋体" w:hAnsi="宋体"/>
          <w:color w:val="000000" w:themeColor="text1"/>
          <w:kern w:val="0"/>
          <w:sz w:val="24"/>
          <w:highlight w:val="none"/>
          <w:lang w:eastAsia="zh-CN"/>
          <w14:textFill>
            <w14:solidFill>
              <w14:schemeClr w14:val="tx1"/>
            </w14:solidFill>
          </w14:textFill>
        </w:rPr>
        <w:t>参考</w:t>
      </w:r>
      <w:r>
        <w:rPr>
          <w:rFonts w:hint="eastAsia" w:ascii="宋体" w:hAnsi="宋体"/>
          <w:color w:val="000000" w:themeColor="text1"/>
          <w:kern w:val="0"/>
          <w:sz w:val="24"/>
          <w:highlight w:val="none"/>
          <w14:textFill>
            <w14:solidFill>
              <w14:schemeClr w14:val="tx1"/>
            </w14:solidFill>
          </w14:textFill>
        </w:rPr>
        <w:t>文本》（以下简称“本范本”）。本范本适用于房屋市政工程招标</w:t>
      </w:r>
      <w:r>
        <w:rPr>
          <w:rFonts w:hint="eastAsia" w:ascii="宋体" w:hAnsi="宋体"/>
          <w:color w:val="000000" w:themeColor="text1"/>
          <w:kern w:val="0"/>
          <w:sz w:val="24"/>
          <w:highlight w:val="none"/>
          <w:lang w:eastAsia="zh-CN"/>
          <w14:textFill>
            <w14:solidFill>
              <w14:schemeClr w14:val="tx1"/>
            </w14:solidFill>
          </w14:textFill>
        </w:rPr>
        <w:t>投标</w:t>
      </w:r>
      <w:r>
        <w:rPr>
          <w:rFonts w:hint="eastAsia" w:ascii="宋体" w:hAnsi="宋体"/>
          <w:color w:val="000000" w:themeColor="text1"/>
          <w:kern w:val="0"/>
          <w:sz w:val="24"/>
          <w:highlight w:val="none"/>
          <w14:textFill>
            <w14:solidFill>
              <w14:schemeClr w14:val="tx1"/>
            </w14:solidFill>
          </w14:textFill>
        </w:rPr>
        <w:t>工作，交通、水务行业可根据行业法律、法规、规范调整。</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二、本范本适用于采用电子招投标</w:t>
      </w:r>
      <w:r>
        <w:rPr>
          <w:rFonts w:hint="eastAsia" w:ascii="宋体" w:hAnsi="宋体"/>
          <w:color w:val="000000" w:themeColor="text1"/>
          <w:kern w:val="0"/>
          <w:sz w:val="24"/>
          <w:highlight w:val="none"/>
          <w:lang w:eastAsia="zh-CN"/>
          <w14:textFill>
            <w14:solidFill>
              <w14:schemeClr w14:val="tx1"/>
            </w14:solidFill>
          </w14:textFill>
        </w:rPr>
        <w:t>、评定分离、采用资格后审</w:t>
      </w:r>
      <w:r>
        <w:rPr>
          <w:rFonts w:hint="eastAsia" w:ascii="宋体" w:hAnsi="宋体"/>
          <w:color w:val="000000" w:themeColor="text1"/>
          <w:kern w:val="0"/>
          <w:sz w:val="24"/>
          <w:highlight w:val="none"/>
          <w14:textFill>
            <w14:solidFill>
              <w14:schemeClr w14:val="tx1"/>
            </w14:solidFill>
          </w14:textFill>
        </w:rPr>
        <w:t>的</w:t>
      </w:r>
      <w:r>
        <w:rPr>
          <w:rFonts w:hint="eastAsia" w:ascii="宋体" w:hAnsi="宋体"/>
          <w:color w:val="000000" w:themeColor="text1"/>
          <w:kern w:val="0"/>
          <w:sz w:val="24"/>
          <w:highlight w:val="none"/>
          <w:lang w:eastAsia="zh-CN"/>
          <w14:textFill>
            <w14:solidFill>
              <w14:schemeClr w14:val="tx1"/>
            </w14:solidFill>
          </w14:textFill>
        </w:rPr>
        <w:t>勘察</w:t>
      </w:r>
      <w:r>
        <w:rPr>
          <w:rFonts w:hint="eastAsia" w:ascii="宋体" w:hAnsi="宋体"/>
          <w:color w:val="000000" w:themeColor="text1"/>
          <w:kern w:val="0"/>
          <w:sz w:val="24"/>
          <w:highlight w:val="none"/>
          <w14:textFill>
            <w14:solidFill>
              <w14:schemeClr w14:val="tx1"/>
            </w14:solidFill>
          </w14:textFill>
        </w:rPr>
        <w:t>类招标工程。</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三、本范本的主要编写依据：</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1．《中华人民共和国建筑法》；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2．《中华人民共和国招标投标法》；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 《中华人民共和国招标投标法实施条例》；</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w:t>
      </w:r>
      <w:r>
        <w:rPr>
          <w:rFonts w:hint="eastAsia" w:ascii="宋体" w:hAnsi="宋体"/>
          <w:color w:val="000000" w:themeColor="text1"/>
          <w:kern w:val="0"/>
          <w:sz w:val="24"/>
          <w:highlight w:val="none"/>
          <w:lang w:val="en-US" w:eastAsia="zh-CN"/>
          <w14:textFill>
            <w14:solidFill>
              <w14:schemeClr w14:val="tx1"/>
            </w14:solidFill>
          </w14:textFill>
        </w:rPr>
        <w:t xml:space="preserve"> </w:t>
      </w:r>
      <w:r>
        <w:rPr>
          <w:rFonts w:hint="eastAsia" w:ascii="宋体" w:hAnsi="宋体"/>
          <w:color w:val="000000" w:themeColor="text1"/>
          <w:kern w:val="0"/>
          <w:sz w:val="24"/>
          <w:highlight w:val="none"/>
          <w:lang w:eastAsia="zh-CN"/>
          <w14:textFill>
            <w14:solidFill>
              <w14:schemeClr w14:val="tx1"/>
            </w14:solidFill>
          </w14:textFill>
        </w:rPr>
        <w:t>《广东省实施</w:t>
      </w:r>
      <w:r>
        <w:rPr>
          <w:rFonts w:hint="eastAsia" w:ascii="宋体" w:hAnsi="宋体"/>
          <w:color w:val="000000" w:themeColor="text1"/>
          <w:kern w:val="0"/>
          <w:sz w:val="24"/>
          <w:highlight w:val="none"/>
          <w:lang w:val="en-US" w:eastAsia="zh-CN"/>
          <w14:textFill>
            <w14:solidFill>
              <w14:schemeClr w14:val="tx1"/>
            </w14:solidFill>
          </w14:textFill>
        </w:rPr>
        <w:t>&lt;中华人民共和国招标投标法&gt;办法</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 《电子招标投标办法》；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6</w:t>
      </w:r>
      <w:r>
        <w:rPr>
          <w:rFonts w:hint="eastAsia" w:ascii="宋体" w:hAnsi="宋体"/>
          <w:color w:val="000000" w:themeColor="text1"/>
          <w:kern w:val="0"/>
          <w:sz w:val="24"/>
          <w:highlight w:val="none"/>
          <w14:textFill>
            <w14:solidFill>
              <w14:schemeClr w14:val="tx1"/>
            </w14:solidFill>
          </w14:textFill>
        </w:rPr>
        <w:t>．</w:t>
      </w:r>
      <w:r>
        <w:rPr>
          <w:rFonts w:hint="eastAsia"/>
          <w:highlight w:val="none"/>
          <w:lang w:val="en-US" w:eastAsia="zh-CN"/>
        </w:rPr>
        <w:t>《关于建设工程招标投标改革的若干规定（修订）》（潮府规[2022]3</w:t>
      </w:r>
      <w:bookmarkStart w:id="92" w:name="_GoBack"/>
      <w:bookmarkEnd w:id="92"/>
      <w:r>
        <w:rPr>
          <w:rFonts w:hint="eastAsia"/>
          <w:highlight w:val="none"/>
          <w:lang w:val="en-US" w:eastAsia="zh-CN"/>
        </w:rPr>
        <w:t>号）</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7</w:t>
      </w:r>
      <w:r>
        <w:rPr>
          <w:rFonts w:hint="eastAsia" w:ascii="宋体" w:hAnsi="宋体"/>
          <w:color w:val="000000" w:themeColor="text1"/>
          <w:kern w:val="0"/>
          <w:sz w:val="24"/>
          <w:highlight w:val="none"/>
          <w14:textFill>
            <w14:solidFill>
              <w14:schemeClr w14:val="tx1"/>
            </w14:solidFill>
          </w14:textFill>
        </w:rPr>
        <w:t>. 其他有关工程</w:t>
      </w:r>
      <w:r>
        <w:rPr>
          <w:rFonts w:hint="eastAsia" w:ascii="宋体" w:hAnsi="宋体" w:cs="宋体"/>
          <w:snapToGrid w:val="0"/>
          <w:kern w:val="0"/>
          <w:sz w:val="24"/>
          <w:highlight w:val="none"/>
        </w:rPr>
        <w:t>监理</w:t>
      </w:r>
      <w:r>
        <w:rPr>
          <w:rFonts w:hint="eastAsia" w:ascii="宋体" w:hAnsi="宋体"/>
          <w:color w:val="000000" w:themeColor="text1"/>
          <w:kern w:val="0"/>
          <w:sz w:val="24"/>
          <w:highlight w:val="none"/>
          <w14:textFill>
            <w14:solidFill>
              <w14:schemeClr w14:val="tx1"/>
            </w14:solidFill>
          </w14:textFill>
        </w:rPr>
        <w:t>的法律、法规、规章和规范性文件。</w:t>
      </w:r>
    </w:p>
    <w:p>
      <w:pPr>
        <w:adjustRightInd w:val="0"/>
        <w:snapToGrid w:val="0"/>
        <w:spacing w:line="440" w:lineRule="exact"/>
        <w:ind w:firstLine="420" w:firstLineChars="200"/>
        <w:rPr>
          <w:color w:val="auto"/>
          <w:highlight w:val="none"/>
        </w:rPr>
      </w:pPr>
      <w:bookmarkStart w:id="1" w:name="_Toc5080"/>
      <w:r>
        <w:rPr>
          <w:rFonts w:hint="eastAsia"/>
          <w:color w:val="auto"/>
          <w:highlight w:val="none"/>
          <w:lang w:eastAsia="zh-CN"/>
        </w:rPr>
        <w:t>四</w:t>
      </w:r>
      <w:r>
        <w:rPr>
          <w:rFonts w:hint="eastAsia"/>
          <w:color w:val="auto"/>
          <w:highlight w:val="none"/>
        </w:rPr>
        <w:t>、本招标文件所指交易网为：潮州市公共资源交易中心工程交易服务主页（</w:t>
      </w:r>
      <w:r>
        <w:rPr>
          <w:color w:val="auto"/>
          <w:highlight w:val="none"/>
        </w:rPr>
        <w:t>https://www.czggzy.com/</w:t>
      </w:r>
      <w:r>
        <w:rPr>
          <w:rFonts w:hint="eastAsia"/>
          <w:color w:val="auto"/>
          <w:highlight w:val="none"/>
        </w:rPr>
        <w:t>）。</w:t>
      </w:r>
    </w:p>
    <w:p>
      <w:pPr>
        <w:adjustRightInd w:val="0"/>
        <w:snapToGrid w:val="0"/>
        <w:spacing w:line="440" w:lineRule="exact"/>
        <w:ind w:firstLine="420" w:firstLineChars="200"/>
        <w:rPr>
          <w:color w:val="auto"/>
          <w:highlight w:val="none"/>
        </w:rPr>
      </w:pPr>
      <w:r>
        <w:rPr>
          <w:rFonts w:hint="eastAsia"/>
          <w:color w:val="auto"/>
          <w:highlight w:val="none"/>
          <w:lang w:eastAsia="zh-CN"/>
        </w:rPr>
        <w:t>五</w:t>
      </w:r>
      <w:r>
        <w:rPr>
          <w:rFonts w:hint="eastAsia"/>
          <w:color w:val="auto"/>
          <w:highlight w:val="none"/>
        </w:rPr>
        <w:t>、招标人和投标人应事先办理企业</w:t>
      </w:r>
      <w:r>
        <w:rPr>
          <w:rFonts w:hint="eastAsia"/>
          <w:color w:val="auto"/>
          <w:highlight w:val="none"/>
          <w:lang w:eastAsia="zh-CN"/>
        </w:rPr>
        <w:t>等</w:t>
      </w:r>
      <w:r>
        <w:rPr>
          <w:rFonts w:hint="eastAsia"/>
          <w:color w:val="auto"/>
          <w:highlight w:val="none"/>
        </w:rPr>
        <w:t>相关数字证书。</w:t>
      </w:r>
    </w:p>
    <w:p>
      <w:pPr>
        <w:adjustRightInd w:val="0"/>
        <w:snapToGrid w:val="0"/>
        <w:spacing w:line="440" w:lineRule="exact"/>
        <w:ind w:firstLine="420" w:firstLineChars="200"/>
        <w:rPr>
          <w:color w:val="auto"/>
          <w:highlight w:val="none"/>
        </w:rPr>
      </w:pPr>
      <w:r>
        <w:rPr>
          <w:rFonts w:hint="eastAsia"/>
          <w:color w:val="auto"/>
          <w:highlight w:val="none"/>
          <w:lang w:eastAsia="zh-CN"/>
        </w:rPr>
        <w:t>六</w:t>
      </w:r>
      <w:r>
        <w:rPr>
          <w:rFonts w:hint="eastAsia"/>
          <w:color w:val="auto"/>
          <w:highlight w:val="none"/>
        </w:rPr>
        <w:t>、有关招标问题的说明</w:t>
      </w:r>
    </w:p>
    <w:p>
      <w:pPr>
        <w:adjustRightInd w:val="0"/>
        <w:snapToGrid w:val="0"/>
        <w:spacing w:line="440" w:lineRule="exact"/>
        <w:ind w:firstLine="420" w:firstLineChars="200"/>
        <w:rPr>
          <w:highlight w:val="none"/>
        </w:rPr>
      </w:pPr>
      <w:r>
        <w:rPr>
          <w:rFonts w:hint="eastAsia"/>
          <w:color w:val="auto"/>
          <w:highlight w:val="none"/>
        </w:rPr>
        <w:t>1.招标文件中的所有空格招标人必须按实填写，无内容或不采用应填写“无”。对本招标文件（含合同）示范文本进行补充、删除或修改的内容，应统一写入本招标文件的第三章。同时，应明确注明是对招标文件示范文本具体章节条款进行补充或修改。第三章内容与其他部分有冲突时，以</w:t>
      </w:r>
      <w:r>
        <w:rPr>
          <w:rFonts w:hint="eastAsia"/>
          <w:highlight w:val="none"/>
        </w:rPr>
        <w:t>第三章内容为准，但与相关法律、法规、政策相冲突的除外。</w:t>
      </w:r>
    </w:p>
    <w:p>
      <w:pPr>
        <w:adjustRightInd w:val="0"/>
        <w:snapToGrid w:val="0"/>
        <w:spacing w:line="440" w:lineRule="exact"/>
        <w:ind w:firstLine="420" w:firstLineChars="200"/>
        <w:rPr>
          <w:highlight w:val="none"/>
        </w:rPr>
      </w:pPr>
      <w:r>
        <w:rPr>
          <w:rFonts w:hint="eastAsia"/>
          <w:highlight w:val="none"/>
        </w:rPr>
        <w:t>2．招标文件的建设规模应描述整个建设项目的规模情况和使用功能。</w:t>
      </w:r>
    </w:p>
    <w:p>
      <w:pPr>
        <w:adjustRightInd w:val="0"/>
        <w:snapToGrid w:val="0"/>
        <w:spacing w:line="440" w:lineRule="exact"/>
        <w:ind w:firstLine="420" w:firstLineChars="200"/>
        <w:rPr>
          <w:highlight w:val="none"/>
        </w:rPr>
      </w:pPr>
      <w:r>
        <w:rPr>
          <w:rFonts w:hint="eastAsia"/>
          <w:highlight w:val="none"/>
        </w:rPr>
        <w:t>3．招标文件的招标范围，应详细说明本次招标工程的定量规模和项目特征。</w:t>
      </w:r>
    </w:p>
    <w:p>
      <w:pPr>
        <w:adjustRightInd w:val="0"/>
        <w:snapToGrid w:val="0"/>
        <w:spacing w:line="440" w:lineRule="exact"/>
        <w:ind w:firstLine="420" w:firstLineChars="200"/>
        <w:rPr>
          <w:highlight w:val="none"/>
        </w:rPr>
      </w:pPr>
      <w:r>
        <w:rPr>
          <w:rFonts w:hint="eastAsia"/>
          <w:highlight w:val="none"/>
          <w:lang w:eastAsia="zh-CN"/>
        </w:rPr>
        <w:t>七</w:t>
      </w:r>
      <w:r>
        <w:rPr>
          <w:rFonts w:hint="eastAsia"/>
          <w:highlight w:val="none"/>
        </w:rPr>
        <w:t>、有关投标问题的说明</w:t>
      </w:r>
    </w:p>
    <w:p>
      <w:pPr>
        <w:ind w:firstLine="420" w:firstLineChars="200"/>
        <w:jc w:val="left"/>
        <w:rPr>
          <w:rFonts w:ascii="仿宋" w:hAnsi="仿宋" w:eastAsia="仿宋" w:cs="仿宋"/>
          <w:color w:val="auto"/>
          <w:szCs w:val="21"/>
          <w:highlight w:val="none"/>
        </w:rPr>
      </w:pPr>
      <w:r>
        <w:rPr>
          <w:rFonts w:hint="eastAsia"/>
          <w:highlight w:val="none"/>
        </w:rPr>
        <w:t>1.参加投标的单位（包含联合体投标的各成员）</w:t>
      </w:r>
      <w:r>
        <w:rPr>
          <w:rFonts w:hint="eastAsia" w:cs="仿宋" w:eastAsiaTheme="minorHAnsi"/>
          <w:color w:val="auto"/>
          <w:szCs w:val="21"/>
          <w:highlight w:val="none"/>
        </w:rPr>
        <w:t>应当在交易中心办理企业信息登记，如实递交有关信息，并经交易中心验证。</w:t>
      </w:r>
    </w:p>
    <w:p>
      <w:pPr>
        <w:adjustRightInd w:val="0"/>
        <w:snapToGrid w:val="0"/>
        <w:spacing w:line="440" w:lineRule="exact"/>
        <w:ind w:firstLine="420" w:firstLineChars="200"/>
        <w:rPr>
          <w:highlight w:val="none"/>
        </w:rPr>
      </w:pPr>
      <w:r>
        <w:rPr>
          <w:rFonts w:hint="eastAsia"/>
          <w:highlight w:val="none"/>
        </w:rPr>
        <w:t>2.投标人获取招标文件后，应仔细阅读招标文件及附件的全部内容，附件与招标文件具有同等效力。</w:t>
      </w:r>
    </w:p>
    <w:p>
      <w:pPr>
        <w:adjustRightInd w:val="0"/>
        <w:snapToGrid w:val="0"/>
        <w:spacing w:line="440" w:lineRule="exact"/>
        <w:ind w:firstLine="420" w:firstLineChars="200"/>
        <w:rPr>
          <w:highlight w:val="none"/>
        </w:rPr>
      </w:pPr>
      <w:r>
        <w:rPr>
          <w:rFonts w:hint="eastAsia"/>
          <w:highlight w:val="none"/>
        </w:rPr>
        <w:t>3.投标人应在投标截止时间前，登录交易网免费查阅或下载招标文件、答疑及招标文件补充通知。</w:t>
      </w:r>
    </w:p>
    <w:p>
      <w:pPr>
        <w:adjustRightInd w:val="0"/>
        <w:snapToGrid w:val="0"/>
        <w:spacing w:line="440" w:lineRule="exact"/>
        <w:ind w:firstLine="420" w:firstLineChars="200"/>
        <w:rPr>
          <w:highlight w:val="none"/>
        </w:rPr>
      </w:pPr>
      <w:r>
        <w:rPr>
          <w:rFonts w:hint="eastAsia"/>
          <w:highlight w:val="none"/>
        </w:rPr>
        <w:t>4.投标人对招标文件有不同意见或不明之处，应在交易网向招标人提出。</w:t>
      </w:r>
    </w:p>
    <w:p>
      <w:pPr>
        <w:adjustRightInd w:val="0"/>
        <w:snapToGrid w:val="0"/>
        <w:spacing w:line="440" w:lineRule="exact"/>
        <w:ind w:firstLine="420" w:firstLineChars="200"/>
        <w:rPr>
          <w:highlight w:val="none"/>
        </w:rPr>
      </w:pPr>
      <w:r>
        <w:rPr>
          <w:rFonts w:hint="eastAsia"/>
          <w:highlight w:val="none"/>
        </w:rPr>
        <w:t>5.投标人应在遵循招标文件的各项规定和要求的前提下，编制投标文件。投标文件必须满足招标文件中的实质性要求和条件。投标文件若出现否决性条款的情形其投标将会被否决。</w:t>
      </w:r>
    </w:p>
    <w:p>
      <w:pPr>
        <w:adjustRightInd w:val="0"/>
        <w:snapToGrid w:val="0"/>
        <w:spacing w:line="440" w:lineRule="exact"/>
        <w:ind w:firstLine="420" w:firstLineChars="200"/>
        <w:rPr>
          <w:highlight w:val="none"/>
        </w:rPr>
      </w:pPr>
      <w:r>
        <w:rPr>
          <w:rFonts w:hint="eastAsia"/>
          <w:highlight w:val="none"/>
        </w:rPr>
        <w:t>6.投标人应严格按招标文件要求，在截标前使用投标人（或联合体主体）企业机构数字证书，通过交易网递交电子投标文件；为防止网络阻塞，建议预留充足时间上传投标文件。</w:t>
      </w:r>
    </w:p>
    <w:p>
      <w:pPr>
        <w:adjustRightInd w:val="0"/>
        <w:snapToGrid w:val="0"/>
        <w:spacing w:line="440" w:lineRule="exact"/>
        <w:ind w:firstLine="420" w:firstLineChars="200"/>
        <w:rPr>
          <w:highlight w:val="none"/>
        </w:rPr>
      </w:pPr>
      <w:r>
        <w:rPr>
          <w:rFonts w:hint="eastAsia"/>
          <w:highlight w:val="none"/>
        </w:rPr>
        <w:t>7.投标人</w:t>
      </w:r>
      <w:r>
        <w:rPr>
          <w:rFonts w:hint="eastAsia"/>
          <w:highlight w:val="none"/>
          <w:lang w:eastAsia="zh-CN"/>
        </w:rPr>
        <w:t>可通过</w:t>
      </w:r>
      <w:r>
        <w:rPr>
          <w:rFonts w:hint="eastAsia"/>
          <w:highlight w:val="none"/>
        </w:rPr>
        <w:t>交易网获取建设工程招标文件和</w:t>
      </w:r>
      <w:r>
        <w:rPr>
          <w:rFonts w:hint="eastAsia"/>
          <w:highlight w:val="none"/>
          <w:lang w:eastAsia="zh-CN"/>
        </w:rPr>
        <w:t>可行性研究等资料</w:t>
      </w:r>
      <w:r>
        <w:rPr>
          <w:rFonts w:hint="eastAsia"/>
          <w:highlight w:val="none"/>
        </w:rPr>
        <w:t>。投标人需随时关注交易网，确认所投标的项目相关信息</w:t>
      </w:r>
      <w:r>
        <w:rPr>
          <w:rFonts w:hint="eastAsia"/>
          <w:color w:val="000000" w:themeColor="text1"/>
          <w:highlight w:val="none"/>
          <w14:textFill>
            <w14:solidFill>
              <w14:schemeClr w14:val="tx1"/>
            </w14:solidFill>
          </w14:textFill>
        </w:rPr>
        <w:t>是否更新。</w:t>
      </w:r>
      <w:r>
        <w:rPr>
          <w:rFonts w:hint="eastAsia"/>
          <w:highlight w:val="none"/>
        </w:rPr>
        <w:t>如果有更新，须</w:t>
      </w:r>
      <w:r>
        <w:rPr>
          <w:rFonts w:hint="eastAsia"/>
          <w:highlight w:val="none"/>
          <w:lang w:eastAsia="zh-CN"/>
        </w:rPr>
        <w:t>根据招标人最新发布的资料</w:t>
      </w:r>
      <w:r>
        <w:rPr>
          <w:rFonts w:hint="eastAsia"/>
          <w:highlight w:val="none"/>
        </w:rPr>
        <w:t>制作电子投标文件，否则后果由投标人自行承担。</w:t>
      </w:r>
    </w:p>
    <w:p>
      <w:pPr>
        <w:adjustRightInd w:val="0"/>
        <w:snapToGrid w:val="0"/>
        <w:spacing w:line="440" w:lineRule="exact"/>
        <w:ind w:firstLine="420" w:firstLineChars="200"/>
        <w:rPr>
          <w:highlight w:val="none"/>
        </w:rPr>
      </w:pPr>
      <w:r>
        <w:rPr>
          <w:rFonts w:hint="eastAsia"/>
          <w:highlight w:val="none"/>
        </w:rPr>
        <w:t>8.投标人应当遵守潮州市公共资源交易中心的相关规定，违反规定导致的不利后果，由投标人自行承担。</w:t>
      </w:r>
    </w:p>
    <w:p>
      <w:pPr>
        <w:adjustRightInd w:val="0"/>
        <w:snapToGrid w:val="0"/>
        <w:spacing w:line="440" w:lineRule="exact"/>
        <w:ind w:firstLine="420" w:firstLineChars="200"/>
        <w:rPr>
          <w:highlight w:val="none"/>
        </w:rPr>
      </w:pPr>
      <w:r>
        <w:rPr>
          <w:rFonts w:hint="eastAsia"/>
          <w:highlight w:val="none"/>
        </w:rPr>
        <w:t>9.投标人须对投标资料的真实性负责。招标人</w:t>
      </w:r>
      <w:r>
        <w:rPr>
          <w:rFonts w:hint="eastAsia"/>
          <w:highlight w:val="none"/>
          <w:lang w:eastAsia="zh-CN"/>
        </w:rPr>
        <w:t>应按有关规定</w:t>
      </w:r>
      <w:r>
        <w:rPr>
          <w:rFonts w:hint="eastAsia"/>
          <w:highlight w:val="none"/>
        </w:rPr>
        <w:t>将投标文件的</w:t>
      </w:r>
      <w:r>
        <w:rPr>
          <w:rFonts w:hint="eastAsia"/>
          <w:highlight w:val="none"/>
          <w:lang w:eastAsia="zh-CN"/>
        </w:rPr>
        <w:t>相关</w:t>
      </w:r>
      <w:r>
        <w:rPr>
          <w:rFonts w:hint="eastAsia"/>
          <w:highlight w:val="none"/>
        </w:rPr>
        <w:t>内容向外公示，若公示期间收到有关弄虚作假投诉的，招标人将提请有关行政</w:t>
      </w:r>
      <w:r>
        <w:rPr>
          <w:rFonts w:hint="eastAsia"/>
          <w:highlight w:val="none"/>
          <w:lang w:eastAsia="zh-CN"/>
        </w:rPr>
        <w:t>主管</w:t>
      </w:r>
      <w:r>
        <w:rPr>
          <w:rFonts w:hint="eastAsia"/>
          <w:highlight w:val="none"/>
        </w:rPr>
        <w:t>部门查处。一旦查实将严格按照法律法规以及《投标承诺函》的有关承诺作出处理。</w:t>
      </w:r>
    </w:p>
    <w:p>
      <w:pPr>
        <w:adjustRightInd w:val="0"/>
        <w:snapToGrid w:val="0"/>
        <w:spacing w:line="440" w:lineRule="exact"/>
        <w:ind w:firstLine="420" w:firstLineChars="200"/>
        <w:rPr>
          <w:highlight w:val="none"/>
        </w:rPr>
      </w:pPr>
      <w:r>
        <w:rPr>
          <w:rFonts w:hint="eastAsia"/>
          <w:highlight w:val="none"/>
        </w:rPr>
        <w:t>10.若投标人资质证书被暂扣或吊销，但仍参与投标的，招标人将取消其投标或中标资格、没收其投标保证金，</w:t>
      </w:r>
      <w:r>
        <w:rPr>
          <w:rFonts w:hint="eastAsia"/>
          <w:highlight w:val="none"/>
          <w:lang w:eastAsia="zh-CN"/>
        </w:rPr>
        <w:t>行业</w:t>
      </w:r>
      <w:r>
        <w:rPr>
          <w:rFonts w:hint="eastAsia"/>
          <w:highlight w:val="none"/>
        </w:rPr>
        <w:t>行政主管部门或有关行政管理部门将按弄虚作假行为对其进行行政处罚。</w:t>
      </w:r>
    </w:p>
    <w:p>
      <w:pPr>
        <w:adjustRightInd w:val="0"/>
        <w:snapToGrid w:val="0"/>
        <w:spacing w:line="440" w:lineRule="exact"/>
        <w:ind w:firstLine="420" w:firstLineChars="200"/>
        <w:rPr>
          <w:highlight w:val="none"/>
        </w:rPr>
      </w:pPr>
      <w:r>
        <w:rPr>
          <w:rFonts w:hint="eastAsia"/>
          <w:highlight w:val="none"/>
        </w:rPr>
        <w:t>11.投标人注意事项：</w:t>
      </w:r>
    </w:p>
    <w:p>
      <w:pPr>
        <w:adjustRightInd w:val="0"/>
        <w:snapToGrid w:val="0"/>
        <w:spacing w:line="440" w:lineRule="exact"/>
        <w:ind w:firstLine="420" w:firstLineChars="200"/>
        <w:rPr>
          <w:highlight w:val="none"/>
        </w:rPr>
      </w:pPr>
      <w:r>
        <w:rPr>
          <w:rFonts w:hint="eastAsia"/>
          <w:highlight w:val="none"/>
        </w:rPr>
        <w:t>11.1电子投标文件必须按招标文件要求有数字证书签名方为合法的投标文件。未对电子文件进行数字证书签名的开标会现场将作为不予受理的投标文件处理。</w:t>
      </w:r>
    </w:p>
    <w:p>
      <w:pPr>
        <w:adjustRightInd w:val="0"/>
        <w:snapToGrid w:val="0"/>
        <w:spacing w:line="440" w:lineRule="exact"/>
        <w:ind w:firstLine="420" w:firstLineChars="200"/>
        <w:rPr>
          <w:rFonts w:hint="eastAsia"/>
          <w:highlight w:val="none"/>
        </w:rPr>
      </w:pPr>
      <w:r>
        <w:rPr>
          <w:rFonts w:hint="eastAsia"/>
          <w:highlight w:val="none"/>
        </w:rPr>
        <w:t>11.</w:t>
      </w:r>
      <w:r>
        <w:rPr>
          <w:rFonts w:hint="eastAsia"/>
          <w:highlight w:val="none"/>
          <w:lang w:val="en-US" w:eastAsia="zh-CN"/>
        </w:rPr>
        <w:t>2</w:t>
      </w:r>
      <w:r>
        <w:rPr>
          <w:rFonts w:hint="eastAsia"/>
          <w:highlight w:val="none"/>
          <w:lang w:eastAsia="zh-CN"/>
        </w:rPr>
        <w:t>投标人应按</w:t>
      </w:r>
      <w:r>
        <w:rPr>
          <w:rFonts w:hint="eastAsia"/>
          <w:highlight w:val="none"/>
        </w:rPr>
        <w:t>招标文件</w:t>
      </w:r>
      <w:r>
        <w:rPr>
          <w:rFonts w:hint="eastAsia"/>
          <w:highlight w:val="none"/>
          <w:lang w:eastAsia="zh-CN"/>
        </w:rPr>
        <w:t>提供</w:t>
      </w:r>
      <w:r>
        <w:rPr>
          <w:rFonts w:hint="eastAsia"/>
          <w:highlight w:val="none"/>
        </w:rPr>
        <w:t>的</w:t>
      </w:r>
      <w:r>
        <w:rPr>
          <w:rFonts w:hint="eastAsia"/>
          <w:highlight w:val="none"/>
          <w:lang w:eastAsia="zh-CN"/>
        </w:rPr>
        <w:t>最高投标限价</w:t>
      </w:r>
      <w:r>
        <w:rPr>
          <w:rFonts w:hint="eastAsia"/>
          <w:highlight w:val="none"/>
        </w:rPr>
        <w:t>等</w:t>
      </w:r>
      <w:r>
        <w:rPr>
          <w:rFonts w:hint="eastAsia"/>
          <w:highlight w:val="none"/>
          <w:lang w:eastAsia="zh-CN"/>
        </w:rPr>
        <w:t>编制报价文件</w:t>
      </w:r>
      <w:r>
        <w:rPr>
          <w:rFonts w:hint="eastAsia"/>
          <w:highlight w:val="none"/>
        </w:rPr>
        <w:t>。</w:t>
      </w:r>
    </w:p>
    <w:p>
      <w:pPr>
        <w:adjustRightInd w:val="0"/>
        <w:snapToGrid w:val="0"/>
        <w:spacing w:line="440" w:lineRule="exact"/>
        <w:ind w:firstLine="420" w:firstLineChars="200"/>
        <w:rPr>
          <w:highlight w:val="none"/>
        </w:rPr>
      </w:pPr>
      <w:r>
        <w:rPr>
          <w:rFonts w:hint="eastAsia"/>
          <w:highlight w:val="none"/>
        </w:rPr>
        <w:t>11.</w:t>
      </w:r>
      <w:r>
        <w:rPr>
          <w:rFonts w:hint="eastAsia"/>
          <w:highlight w:val="none"/>
          <w:lang w:val="en-US" w:eastAsia="zh-CN"/>
        </w:rPr>
        <w:t>3</w:t>
      </w:r>
      <w:r>
        <w:rPr>
          <w:rFonts w:hint="eastAsia"/>
          <w:highlight w:val="none"/>
        </w:rPr>
        <w:t>在编制投标承诺函时，其金额必须与电子投标文件中的金额完全一致。</w:t>
      </w:r>
    </w:p>
    <w:p>
      <w:pPr>
        <w:adjustRightInd w:val="0"/>
        <w:snapToGrid w:val="0"/>
        <w:spacing w:line="440" w:lineRule="exact"/>
        <w:ind w:firstLine="420" w:firstLineChars="200"/>
        <w:rPr>
          <w:highlight w:val="none"/>
        </w:rPr>
      </w:pPr>
      <w:r>
        <w:rPr>
          <w:rFonts w:hint="eastAsia"/>
          <w:highlight w:val="none"/>
        </w:rPr>
        <w:t>11.</w:t>
      </w:r>
      <w:r>
        <w:rPr>
          <w:rFonts w:hint="eastAsia"/>
          <w:highlight w:val="none"/>
          <w:lang w:val="en-US" w:eastAsia="zh-CN"/>
        </w:rPr>
        <w:t>4</w:t>
      </w:r>
      <w:r>
        <w:rPr>
          <w:rFonts w:hint="eastAsia"/>
          <w:highlight w:val="none"/>
        </w:rPr>
        <w:t>评标时以电子标书为准，因此在制作电子标书的时候，需要反复核对相关报价。</w:t>
      </w:r>
    </w:p>
    <w:p>
      <w:pPr>
        <w:adjustRightInd w:val="0"/>
        <w:snapToGrid w:val="0"/>
        <w:spacing w:line="440" w:lineRule="exact"/>
        <w:ind w:firstLine="420" w:firstLineChars="200"/>
        <w:rPr>
          <w:highlight w:val="none"/>
        </w:rPr>
      </w:pPr>
      <w:r>
        <w:rPr>
          <w:rFonts w:hint="eastAsia"/>
          <w:highlight w:val="none"/>
        </w:rPr>
        <w:t>12. 本工程采用电子招投标系统，请认真阅读本说明，若有疑问可通过载明的联系方式要求技术咨询。</w:t>
      </w:r>
    </w:p>
    <w:p>
      <w:pPr>
        <w:adjustRightInd w:val="0"/>
        <w:snapToGrid w:val="0"/>
        <w:spacing w:line="440" w:lineRule="exact"/>
        <w:ind w:firstLine="420" w:firstLineChars="200"/>
        <w:rPr>
          <w:rFonts w:hint="default" w:eastAsiaTheme="minorEastAsia"/>
          <w:highlight w:val="none"/>
          <w:lang w:val="en-US" w:eastAsia="zh-CN"/>
        </w:rPr>
      </w:pPr>
      <w:r>
        <w:rPr>
          <w:rFonts w:hint="eastAsia"/>
          <w:highlight w:val="none"/>
          <w:lang w:eastAsia="zh-CN"/>
        </w:rPr>
        <w:t>八</w:t>
      </w:r>
      <w:r>
        <w:rPr>
          <w:rFonts w:hint="eastAsia"/>
          <w:highlight w:val="none"/>
        </w:rPr>
        <w:t>、关于电子化招投标系统咨询方式：</w:t>
      </w:r>
      <w:r>
        <w:rPr>
          <w:rFonts w:hint="eastAsia"/>
          <w:highlight w:val="none"/>
          <w:lang w:val="en-US" w:eastAsia="zh-CN"/>
        </w:rPr>
        <w:t>0768-2393020。</w:t>
      </w:r>
    </w:p>
    <w:p>
      <w:pPr>
        <w:adjustRightInd w:val="0"/>
        <w:snapToGrid w:val="0"/>
        <w:spacing w:line="440" w:lineRule="exact"/>
        <w:ind w:firstLine="420" w:firstLineChars="200"/>
        <w:rPr>
          <w:highlight w:val="none"/>
        </w:rPr>
      </w:pPr>
    </w:p>
    <w:p>
      <w:pPr>
        <w:rPr>
          <w:highlight w:val="none"/>
        </w:rPr>
      </w:pPr>
    </w:p>
    <w:p>
      <w:pPr>
        <w:adjustRightInd w:val="0"/>
        <w:snapToGrid w:val="0"/>
        <w:spacing w:line="20" w:lineRule="exact"/>
        <w:rPr>
          <w:highlight w:val="none"/>
        </w:rPr>
      </w:pPr>
      <w:r>
        <w:rPr>
          <w:highlight w:val="none"/>
        </w:rPr>
        <w:br w:type="page"/>
      </w:r>
    </w:p>
    <w:p>
      <w:pPr>
        <w:jc w:val="center"/>
        <w:rPr>
          <w:rFonts w:ascii="宋体" w:hAnsi="宋体"/>
          <w:b/>
          <w:sz w:val="52"/>
          <w:szCs w:val="52"/>
          <w:highlight w:val="none"/>
        </w:rPr>
      </w:pPr>
      <w:r>
        <w:rPr>
          <w:rFonts w:hint="eastAsia"/>
          <w:b/>
          <w:sz w:val="52"/>
          <w:szCs w:val="52"/>
          <w:highlight w:val="none"/>
        </w:rPr>
        <w:t xml:space="preserve">第一章 </w:t>
      </w:r>
      <w:r>
        <w:rPr>
          <w:rFonts w:hint="eastAsia" w:ascii="宋体" w:hAnsi="宋体"/>
          <w:b/>
          <w:sz w:val="52"/>
          <w:szCs w:val="52"/>
          <w:highlight w:val="none"/>
        </w:rPr>
        <w:t>招标公告</w:t>
      </w:r>
    </w:p>
    <w:p>
      <w:pPr>
        <w:spacing w:line="360" w:lineRule="auto"/>
        <w:ind w:firstLine="540" w:firstLineChars="257"/>
        <w:outlineLvl w:val="1"/>
        <w:rPr>
          <w:rFonts w:eastAsiaTheme="minorHAnsi"/>
          <w:b/>
          <w:szCs w:val="21"/>
          <w:highlight w:val="none"/>
        </w:rPr>
      </w:pPr>
      <w:bookmarkStart w:id="2" w:name="_Toc23624"/>
      <w:r>
        <w:rPr>
          <w:rFonts w:hint="eastAsia" w:eastAsiaTheme="minorHAnsi"/>
          <w:b/>
          <w:szCs w:val="21"/>
          <w:highlight w:val="none"/>
        </w:rPr>
        <w:t>1. 招标条件</w:t>
      </w:r>
      <w:bookmarkEnd w:id="2"/>
    </w:p>
    <w:p>
      <w:pPr>
        <w:spacing w:line="360" w:lineRule="auto"/>
        <w:ind w:firstLine="537" w:firstLineChars="256"/>
        <w:rPr>
          <w:rFonts w:eastAsiaTheme="minorHAnsi"/>
          <w:szCs w:val="21"/>
          <w:highlight w:val="none"/>
        </w:rPr>
      </w:pPr>
      <w:r>
        <w:rPr>
          <w:rFonts w:hint="eastAsia" w:eastAsiaTheme="minorHAnsi"/>
          <w:szCs w:val="21"/>
          <w:highlight w:val="none"/>
        </w:rPr>
        <w:t>本招标项目</w:t>
      </w:r>
      <w:r>
        <w:rPr>
          <w:rFonts w:hint="eastAsia" w:eastAsiaTheme="minorHAnsi"/>
          <w:szCs w:val="21"/>
          <w:highlight w:val="none"/>
          <w:u w:val="single"/>
        </w:rPr>
        <w:t xml:space="preserve">               </w:t>
      </w:r>
      <w:r>
        <w:rPr>
          <w:rFonts w:hint="eastAsia" w:eastAsiaTheme="minorHAnsi"/>
          <w:szCs w:val="21"/>
          <w:highlight w:val="none"/>
        </w:rPr>
        <w:t>已由</w:t>
      </w:r>
      <w:r>
        <w:rPr>
          <w:rFonts w:hint="eastAsia" w:eastAsiaTheme="minorHAnsi"/>
          <w:szCs w:val="21"/>
          <w:highlight w:val="none"/>
          <w:u w:val="single"/>
        </w:rPr>
        <w:t xml:space="preserve">                     </w:t>
      </w:r>
      <w:r>
        <w:rPr>
          <w:rFonts w:hint="eastAsia" w:eastAsiaTheme="minorHAnsi"/>
          <w:szCs w:val="21"/>
          <w:highlight w:val="none"/>
        </w:rPr>
        <w:t>批准建设。资金来源为</w:t>
      </w:r>
      <w:r>
        <w:rPr>
          <w:rFonts w:hint="eastAsia" w:eastAsiaTheme="minorHAnsi"/>
          <w:szCs w:val="21"/>
          <w:highlight w:val="none"/>
          <w:u w:val="single"/>
        </w:rPr>
        <w:t xml:space="preserve">             </w:t>
      </w:r>
      <w:r>
        <w:rPr>
          <w:rFonts w:hint="eastAsia" w:eastAsiaTheme="minorHAnsi"/>
          <w:szCs w:val="21"/>
          <w:highlight w:val="none"/>
        </w:rPr>
        <w:t>，招标人为</w:t>
      </w:r>
      <w:r>
        <w:rPr>
          <w:rFonts w:hint="eastAsia" w:eastAsiaTheme="minorHAnsi"/>
          <w:szCs w:val="21"/>
          <w:highlight w:val="none"/>
          <w:u w:val="single"/>
        </w:rPr>
        <w:t xml:space="preserve">              </w:t>
      </w:r>
      <w:r>
        <w:rPr>
          <w:rFonts w:hint="eastAsia" w:eastAsiaTheme="minorHAnsi"/>
          <w:szCs w:val="21"/>
          <w:highlight w:val="none"/>
        </w:rPr>
        <w:t>。项目已具备招标条件，现对该项目的</w:t>
      </w:r>
      <w:r>
        <w:rPr>
          <w:rFonts w:hint="eastAsia" w:eastAsiaTheme="minorHAnsi"/>
          <w:szCs w:val="21"/>
          <w:highlight w:val="none"/>
          <w:lang w:eastAsia="zh-CN"/>
        </w:rPr>
        <w:t>监理</w:t>
      </w:r>
      <w:r>
        <w:rPr>
          <w:rFonts w:hint="eastAsia" w:eastAsiaTheme="minorHAnsi"/>
          <w:szCs w:val="21"/>
          <w:highlight w:val="none"/>
        </w:rPr>
        <w:t>采用资格后审方式进行公开招标。</w:t>
      </w:r>
    </w:p>
    <w:p>
      <w:pPr>
        <w:spacing w:line="360" w:lineRule="auto"/>
        <w:ind w:firstLine="540" w:firstLineChars="257"/>
        <w:outlineLvl w:val="1"/>
        <w:rPr>
          <w:rFonts w:eastAsiaTheme="minorHAnsi"/>
          <w:b/>
          <w:szCs w:val="21"/>
          <w:highlight w:val="none"/>
        </w:rPr>
      </w:pPr>
      <w:bookmarkStart w:id="3" w:name="_Toc27254"/>
      <w:r>
        <w:rPr>
          <w:rFonts w:hint="eastAsia" w:eastAsiaTheme="minorHAnsi"/>
          <w:b/>
          <w:szCs w:val="21"/>
          <w:highlight w:val="none"/>
        </w:rPr>
        <w:t>2. 项目概况与招标范围</w:t>
      </w:r>
      <w:bookmarkEnd w:id="3"/>
    </w:p>
    <w:p>
      <w:pPr>
        <w:numPr>
          <w:ilvl w:val="1"/>
          <w:numId w:val="1"/>
        </w:numPr>
        <w:spacing w:line="360" w:lineRule="auto"/>
        <w:ind w:left="7" w:leftChars="0" w:firstLine="553" w:firstLineChars="0"/>
        <w:rPr>
          <w:rFonts w:eastAsiaTheme="minorHAnsi"/>
          <w:szCs w:val="21"/>
          <w:highlight w:val="none"/>
        </w:rPr>
      </w:pPr>
      <w:r>
        <w:rPr>
          <w:rFonts w:hint="eastAsia" w:eastAsiaTheme="minorHAnsi"/>
          <w:szCs w:val="21"/>
          <w:highlight w:val="none"/>
        </w:rPr>
        <w:t xml:space="preserve">建设地点： </w:t>
      </w:r>
    </w:p>
    <w:p>
      <w:pPr>
        <w:numPr>
          <w:ilvl w:val="1"/>
          <w:numId w:val="1"/>
        </w:numPr>
        <w:spacing w:line="360" w:lineRule="auto"/>
        <w:ind w:left="7" w:leftChars="0" w:firstLine="553" w:firstLineChars="0"/>
        <w:rPr>
          <w:rFonts w:eastAsiaTheme="minorHAnsi"/>
          <w:szCs w:val="21"/>
          <w:highlight w:val="none"/>
        </w:rPr>
      </w:pPr>
      <w:r>
        <w:rPr>
          <w:rFonts w:hint="eastAsia" w:eastAsiaTheme="minorHAnsi"/>
          <w:szCs w:val="21"/>
          <w:highlight w:val="none"/>
        </w:rPr>
        <w:t xml:space="preserve">建设规模及主要建设内容： </w:t>
      </w:r>
    </w:p>
    <w:p>
      <w:pPr>
        <w:numPr>
          <w:ilvl w:val="1"/>
          <w:numId w:val="1"/>
        </w:numPr>
        <w:spacing w:line="360" w:lineRule="auto"/>
        <w:ind w:left="7" w:leftChars="0" w:firstLine="553" w:firstLineChars="0"/>
        <w:rPr>
          <w:rFonts w:eastAsiaTheme="minorHAnsi"/>
          <w:szCs w:val="21"/>
          <w:highlight w:val="none"/>
        </w:rPr>
      </w:pPr>
      <w:r>
        <w:rPr>
          <w:rFonts w:hint="eastAsia" w:eastAsiaTheme="minorHAnsi"/>
          <w:szCs w:val="21"/>
          <w:highlight w:val="none"/>
        </w:rPr>
        <w:t>招标范围：详见招标文件及招标人提供的有关资料说明。</w:t>
      </w:r>
    </w:p>
    <w:p>
      <w:pPr>
        <w:numPr>
          <w:ilvl w:val="1"/>
          <w:numId w:val="1"/>
        </w:numPr>
        <w:spacing w:line="360" w:lineRule="auto"/>
        <w:ind w:left="7" w:leftChars="0" w:firstLine="553" w:firstLineChars="0"/>
        <w:rPr>
          <w:rFonts w:eastAsiaTheme="minorHAnsi"/>
          <w:szCs w:val="21"/>
          <w:highlight w:val="none"/>
        </w:rPr>
      </w:pPr>
      <w:r>
        <w:rPr>
          <w:rFonts w:hint="eastAsia" w:eastAsiaTheme="minorHAnsi"/>
          <w:szCs w:val="21"/>
          <w:highlight w:val="none"/>
        </w:rPr>
        <w:t>本项目</w:t>
      </w:r>
      <w:r>
        <w:rPr>
          <w:rFonts w:hint="eastAsia" w:eastAsiaTheme="minorHAnsi"/>
          <w:szCs w:val="21"/>
          <w:highlight w:val="none"/>
          <w:lang w:eastAsia="zh-CN"/>
        </w:rPr>
        <w:t>最高投标限价</w:t>
      </w:r>
      <w:r>
        <w:rPr>
          <w:rFonts w:hint="eastAsia" w:eastAsiaTheme="minorHAnsi"/>
          <w:szCs w:val="21"/>
          <w:highlight w:val="none"/>
        </w:rPr>
        <w:t>为</w:t>
      </w:r>
      <w:r>
        <w:rPr>
          <w:rFonts w:hint="eastAsia" w:eastAsiaTheme="minorHAnsi"/>
          <w:szCs w:val="21"/>
          <w:highlight w:val="none"/>
          <w:u w:val="single"/>
        </w:rPr>
        <w:t xml:space="preserve"> </w:t>
      </w:r>
      <w:r>
        <w:rPr>
          <w:rFonts w:hint="eastAsia" w:eastAsiaTheme="minorHAnsi"/>
          <w:szCs w:val="21"/>
          <w:highlight w:val="none"/>
          <w:u w:val="single"/>
          <w:lang w:val="en-US" w:eastAsia="zh-CN"/>
        </w:rPr>
        <w:t xml:space="preserve">    </w:t>
      </w:r>
      <w:r>
        <w:rPr>
          <w:rFonts w:hint="eastAsia" w:eastAsiaTheme="minorHAnsi"/>
          <w:szCs w:val="21"/>
          <w:highlight w:val="none"/>
        </w:rPr>
        <w:t>元，。</w:t>
      </w:r>
    </w:p>
    <w:p>
      <w:pPr>
        <w:numPr>
          <w:ilvl w:val="1"/>
          <w:numId w:val="1"/>
        </w:numPr>
        <w:spacing w:line="360" w:lineRule="auto"/>
        <w:ind w:left="7" w:leftChars="0" w:firstLine="553" w:firstLineChars="0"/>
        <w:rPr>
          <w:rFonts w:hint="default" w:eastAsiaTheme="minorHAnsi"/>
          <w:szCs w:val="21"/>
          <w:highlight w:val="none"/>
          <w:lang w:val="en-US" w:eastAsia="zh-CN"/>
        </w:rPr>
      </w:pPr>
      <w:r>
        <w:rPr>
          <w:rFonts w:hint="eastAsia" w:eastAsiaTheme="minorHAnsi"/>
          <w:szCs w:val="21"/>
          <w:highlight w:val="none"/>
          <w:lang w:eastAsia="zh-CN"/>
        </w:rPr>
        <w:t>合同工期：         日历天。</w:t>
      </w:r>
    </w:p>
    <w:p>
      <w:pPr>
        <w:numPr>
          <w:ilvl w:val="1"/>
          <w:numId w:val="1"/>
        </w:numPr>
        <w:spacing w:line="360" w:lineRule="auto"/>
        <w:ind w:left="7" w:leftChars="0" w:firstLine="553" w:firstLineChars="0"/>
        <w:rPr>
          <w:rFonts w:hint="default" w:eastAsiaTheme="minorHAnsi"/>
          <w:szCs w:val="21"/>
          <w:highlight w:val="none"/>
          <w:lang w:val="en-US" w:eastAsia="zh-CN"/>
        </w:rPr>
      </w:pPr>
      <w:bookmarkStart w:id="4" w:name="_Toc25226"/>
      <w:r>
        <w:rPr>
          <w:rFonts w:hint="eastAsia" w:eastAsiaTheme="minorHAnsi"/>
          <w:szCs w:val="21"/>
          <w:highlight w:val="none"/>
          <w:lang w:val="en-US" w:eastAsia="zh-CN"/>
        </w:rPr>
        <w:t xml:space="preserve"> 其它要求：</w:t>
      </w:r>
    </w:p>
    <w:p>
      <w:pPr>
        <w:spacing w:line="360" w:lineRule="auto"/>
        <w:ind w:firstLine="540" w:firstLineChars="257"/>
        <w:outlineLvl w:val="1"/>
        <w:rPr>
          <w:rFonts w:eastAsiaTheme="minorHAnsi"/>
          <w:szCs w:val="21"/>
          <w:highlight w:val="none"/>
        </w:rPr>
      </w:pPr>
      <w:r>
        <w:rPr>
          <w:rFonts w:hint="eastAsia" w:eastAsiaTheme="minorHAnsi"/>
          <w:b/>
          <w:szCs w:val="21"/>
          <w:highlight w:val="none"/>
        </w:rPr>
        <w:t>3. 投标人资格要求</w:t>
      </w:r>
      <w:bookmarkEnd w:id="4"/>
      <w:r>
        <w:rPr>
          <w:rFonts w:hint="eastAsia" w:eastAsiaTheme="minorHAnsi"/>
          <w:b/>
          <w:szCs w:val="21"/>
          <w:highlight w:val="none"/>
        </w:rPr>
        <w:t xml:space="preserve"> </w:t>
      </w:r>
      <w:r>
        <w:rPr>
          <w:rFonts w:hint="eastAsia" w:eastAsiaTheme="minorHAnsi"/>
          <w:szCs w:val="21"/>
          <w:highlight w:val="none"/>
        </w:rPr>
        <w:t xml:space="preserve">                             </w:t>
      </w:r>
    </w:p>
    <w:p>
      <w:pPr>
        <w:spacing w:line="360" w:lineRule="auto"/>
        <w:ind w:firstLine="539" w:firstLineChars="257"/>
        <w:rPr>
          <w:rFonts w:eastAsiaTheme="minorHAnsi"/>
          <w:szCs w:val="21"/>
          <w:highlight w:val="none"/>
        </w:rPr>
      </w:pPr>
      <w:r>
        <w:rPr>
          <w:rFonts w:hint="eastAsia" w:eastAsiaTheme="minorHAnsi"/>
          <w:szCs w:val="21"/>
          <w:highlight w:val="none"/>
        </w:rPr>
        <w:t>3.1具备</w:t>
      </w:r>
      <w:r>
        <w:rPr>
          <w:rFonts w:hint="eastAsia" w:eastAsiaTheme="minorHAnsi"/>
          <w:szCs w:val="21"/>
          <w:highlight w:val="none"/>
          <w:u w:val="single"/>
          <w:lang w:val="en-US" w:eastAsia="zh-CN"/>
        </w:rPr>
        <w:t xml:space="preserve">     （资质）</w:t>
      </w:r>
      <w:r>
        <w:rPr>
          <w:rFonts w:hint="eastAsia" w:eastAsiaTheme="minorHAnsi"/>
          <w:szCs w:val="21"/>
          <w:highlight w:val="none"/>
          <w:u w:val="single"/>
        </w:rPr>
        <w:t xml:space="preserve">  </w:t>
      </w:r>
      <w:r>
        <w:rPr>
          <w:rFonts w:hint="eastAsia" w:eastAsiaTheme="minorHAnsi"/>
          <w:szCs w:val="21"/>
          <w:highlight w:val="none"/>
          <w:u w:val="single"/>
          <w:lang w:val="en-US" w:eastAsia="zh-CN"/>
        </w:rPr>
        <w:t xml:space="preserve">   </w:t>
      </w:r>
      <w:r>
        <w:rPr>
          <w:rFonts w:hint="eastAsia" w:eastAsiaTheme="minorHAnsi"/>
          <w:szCs w:val="21"/>
          <w:highlight w:val="none"/>
          <w:u w:val="single"/>
        </w:rPr>
        <w:t xml:space="preserve"> </w:t>
      </w:r>
      <w:r>
        <w:rPr>
          <w:rFonts w:hint="eastAsia" w:eastAsiaTheme="minorHAnsi"/>
          <w:szCs w:val="21"/>
          <w:highlight w:val="none"/>
        </w:rPr>
        <w:t xml:space="preserve">级有效资质； </w:t>
      </w:r>
    </w:p>
    <w:p>
      <w:pPr>
        <w:spacing w:line="360" w:lineRule="auto"/>
        <w:ind w:firstLine="539" w:firstLineChars="257"/>
        <w:rPr>
          <w:rFonts w:hint="eastAsia" w:eastAsiaTheme="minorHAnsi"/>
          <w:szCs w:val="21"/>
          <w:highlight w:val="none"/>
          <w:lang w:eastAsia="zh-CN"/>
        </w:rPr>
      </w:pPr>
      <w:r>
        <w:rPr>
          <w:rFonts w:hint="eastAsia" w:eastAsiaTheme="minorHAnsi"/>
          <w:szCs w:val="21"/>
          <w:highlight w:val="none"/>
        </w:rPr>
        <w:t>3.2</w:t>
      </w:r>
      <w:r>
        <w:rPr>
          <w:rFonts w:hint="eastAsia" w:eastAsiaTheme="minorHAnsi"/>
          <w:szCs w:val="21"/>
          <w:highlight w:val="none"/>
          <w:lang w:eastAsia="zh-CN"/>
        </w:rPr>
        <w:t>拟派驻本工程的总监理工程师</w:t>
      </w:r>
      <w:r>
        <w:rPr>
          <w:rFonts w:hint="eastAsia" w:eastAsiaTheme="minorHAnsi"/>
          <w:szCs w:val="21"/>
          <w:highlight w:val="none"/>
        </w:rPr>
        <w:t>应具备</w:t>
      </w:r>
      <w:r>
        <w:rPr>
          <w:rFonts w:hint="eastAsia" w:eastAsiaTheme="minorHAnsi"/>
          <w:szCs w:val="21"/>
          <w:highlight w:val="none"/>
          <w:u w:val="single"/>
          <w:lang w:val="en-US" w:eastAsia="zh-CN"/>
        </w:rPr>
        <w:t xml:space="preserve">              </w:t>
      </w:r>
      <w:r>
        <w:rPr>
          <w:rFonts w:hint="eastAsia" w:eastAsiaTheme="minorHAnsi"/>
          <w:szCs w:val="21"/>
          <w:highlight w:val="none"/>
          <w:u w:val="none"/>
          <w:lang w:val="en-US" w:eastAsia="zh-CN"/>
        </w:rPr>
        <w:t xml:space="preserve"> 专业注册监理工程师</w:t>
      </w:r>
      <w:r>
        <w:rPr>
          <w:rFonts w:hint="eastAsia" w:eastAsiaTheme="minorHAnsi"/>
          <w:szCs w:val="21"/>
          <w:highlight w:val="none"/>
        </w:rPr>
        <w:t>资格并注册在该单位</w:t>
      </w:r>
      <w:r>
        <w:rPr>
          <w:rFonts w:hint="eastAsia" w:eastAsiaTheme="minorHAnsi"/>
          <w:szCs w:val="21"/>
          <w:highlight w:val="none"/>
          <w:lang w:eastAsia="zh-CN"/>
        </w:rPr>
        <w:t>，以联合体形式投标的，由联合体牵头人派出。</w:t>
      </w:r>
    </w:p>
    <w:p>
      <w:pPr>
        <w:spacing w:line="360" w:lineRule="auto"/>
        <w:ind w:firstLine="539" w:firstLineChars="257"/>
        <w:rPr>
          <w:rFonts w:eastAsiaTheme="minorHAnsi"/>
          <w:szCs w:val="21"/>
          <w:highlight w:val="none"/>
        </w:rPr>
      </w:pPr>
      <w:r>
        <w:rPr>
          <w:rFonts w:hint="eastAsia" w:eastAsiaTheme="minorHAnsi"/>
          <w:szCs w:val="21"/>
          <w:highlight w:val="none"/>
        </w:rPr>
        <w:t>3.3自</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日以来没有骗取中标或严重违约，经营中</w:t>
      </w:r>
      <w:r>
        <w:rPr>
          <w:rFonts w:hint="eastAsia" w:eastAsiaTheme="minorHAnsi"/>
          <w:szCs w:val="21"/>
          <w:highlight w:val="none"/>
          <w:lang w:eastAsia="zh-CN"/>
        </w:rPr>
        <w:t>没有发生因监理原因导致的</w:t>
      </w:r>
      <w:r>
        <w:rPr>
          <w:rFonts w:hint="eastAsia" w:eastAsiaTheme="minorHAnsi"/>
          <w:szCs w:val="21"/>
          <w:highlight w:val="none"/>
        </w:rPr>
        <w:t>重大</w:t>
      </w:r>
      <w:r>
        <w:rPr>
          <w:rFonts w:hint="eastAsia" w:eastAsiaTheme="minorHAnsi"/>
          <w:szCs w:val="21"/>
          <w:highlight w:val="none"/>
          <w:lang w:eastAsia="zh-CN"/>
        </w:rPr>
        <w:t>工程质量</w:t>
      </w:r>
      <w:r>
        <w:rPr>
          <w:rFonts w:hint="eastAsia" w:eastAsiaTheme="minorHAnsi"/>
          <w:szCs w:val="21"/>
          <w:highlight w:val="none"/>
        </w:rPr>
        <w:t>安全事故；</w:t>
      </w:r>
    </w:p>
    <w:p>
      <w:pPr>
        <w:spacing w:line="360" w:lineRule="auto"/>
        <w:ind w:firstLine="539" w:firstLineChars="257"/>
        <w:rPr>
          <w:rFonts w:eastAsiaTheme="minorHAnsi"/>
          <w:szCs w:val="21"/>
          <w:highlight w:val="none"/>
        </w:rPr>
      </w:pPr>
      <w:r>
        <w:rPr>
          <w:rFonts w:hint="eastAsia" w:eastAsiaTheme="minorHAnsi"/>
          <w:szCs w:val="21"/>
          <w:highlight w:val="none"/>
        </w:rPr>
        <w:t>3.4已在“国家企业信用信息公示系统”（网址：http://www.gsxt.gov.cn/index.html）登记，且在该系统中没有出现经营异常名录或经营异常信息已移出，</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日以来没有被列入“严重违法失信企业名单（黑名单）”不良记录；</w:t>
      </w:r>
    </w:p>
    <w:p>
      <w:pPr>
        <w:spacing w:line="360" w:lineRule="auto"/>
        <w:ind w:firstLine="539" w:firstLineChars="257"/>
        <w:rPr>
          <w:rFonts w:eastAsiaTheme="minorHAnsi"/>
          <w:szCs w:val="21"/>
          <w:highlight w:val="none"/>
        </w:rPr>
      </w:pPr>
      <w:r>
        <w:rPr>
          <w:rFonts w:hint="eastAsia" w:eastAsiaTheme="minorHAnsi"/>
          <w:szCs w:val="21"/>
          <w:highlight w:val="none"/>
        </w:rPr>
        <w:t>3.5没有在“信用中国”网站（网址：https://www.creditchina.gov.cn/）中被列入</w:t>
      </w:r>
      <w:r>
        <w:rPr>
          <w:rFonts w:hint="eastAsia" w:eastAsiaTheme="minorHAnsi"/>
          <w:szCs w:val="21"/>
          <w:highlight w:val="none"/>
          <w:lang w:eastAsia="zh-CN"/>
        </w:rPr>
        <w:t>”</w:t>
      </w:r>
      <w:r>
        <w:rPr>
          <w:rFonts w:hint="eastAsia" w:eastAsiaTheme="minorHAnsi"/>
          <w:szCs w:val="21"/>
          <w:highlight w:val="none"/>
        </w:rPr>
        <w:t>失信被执行人</w:t>
      </w:r>
      <w:r>
        <w:rPr>
          <w:rFonts w:hint="eastAsia" w:eastAsiaTheme="minorHAnsi"/>
          <w:szCs w:val="21"/>
          <w:highlight w:val="none"/>
          <w:lang w:eastAsia="zh-CN"/>
        </w:rPr>
        <w:t>”</w:t>
      </w:r>
      <w:r>
        <w:rPr>
          <w:rFonts w:hint="eastAsia" w:eastAsiaTheme="minorHAnsi"/>
          <w:szCs w:val="21"/>
          <w:highlight w:val="none"/>
        </w:rPr>
        <w:t>名单；</w:t>
      </w:r>
    </w:p>
    <w:p>
      <w:pPr>
        <w:spacing w:line="360" w:lineRule="auto"/>
        <w:ind w:firstLine="539" w:firstLineChars="257"/>
        <w:rPr>
          <w:rFonts w:eastAsiaTheme="minorHAnsi"/>
          <w:szCs w:val="21"/>
          <w:highlight w:val="none"/>
        </w:rPr>
      </w:pPr>
      <w:r>
        <w:rPr>
          <w:rFonts w:hint="eastAsia" w:eastAsiaTheme="minorHAnsi"/>
          <w:szCs w:val="21"/>
          <w:highlight w:val="none"/>
        </w:rPr>
        <w:t>3.6自</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日以来，单位、</w:t>
      </w:r>
      <w:r>
        <w:rPr>
          <w:rFonts w:hint="eastAsia" w:eastAsiaTheme="minorHAnsi"/>
          <w:szCs w:val="21"/>
          <w:highlight w:val="none"/>
          <w:lang w:eastAsia="zh-CN"/>
        </w:rPr>
        <w:t>现任</w:t>
      </w:r>
      <w:r>
        <w:rPr>
          <w:rFonts w:hint="eastAsia" w:eastAsiaTheme="minorHAnsi"/>
          <w:szCs w:val="21"/>
          <w:highlight w:val="none"/>
        </w:rPr>
        <w:t>法定代表人、项目负责人均没有行贿犯罪记录的（提供承诺书）；</w:t>
      </w:r>
    </w:p>
    <w:p>
      <w:pPr>
        <w:spacing w:line="360" w:lineRule="auto"/>
        <w:ind w:firstLine="539" w:firstLineChars="257"/>
        <w:rPr>
          <w:rFonts w:eastAsiaTheme="minorHAnsi"/>
          <w:szCs w:val="21"/>
          <w:highlight w:val="none"/>
        </w:rPr>
      </w:pPr>
      <w:r>
        <w:rPr>
          <w:rFonts w:hint="eastAsia" w:eastAsiaTheme="minorHAnsi"/>
          <w:szCs w:val="21"/>
          <w:highlight w:val="none"/>
        </w:rPr>
        <w:t>3.7广东省外的投标人及拟派项目负责人必须已在“进粤企业和人员诚信信息登记平台”（网址：http://210.76.74.212/IntoGD/）录入相关信息并通过数据规范检查；</w:t>
      </w:r>
    </w:p>
    <w:p>
      <w:pPr>
        <w:spacing w:line="360" w:lineRule="auto"/>
        <w:ind w:firstLine="539" w:firstLineChars="257"/>
        <w:rPr>
          <w:rFonts w:hint="default" w:eastAsiaTheme="minorHAnsi"/>
          <w:szCs w:val="21"/>
          <w:highlight w:val="none"/>
          <w:lang w:val="en-US" w:eastAsia="zh-CN"/>
        </w:rPr>
      </w:pPr>
      <w:r>
        <w:rPr>
          <w:rFonts w:hint="eastAsia" w:eastAsiaTheme="minorHAnsi"/>
          <w:szCs w:val="21"/>
          <w:highlight w:val="none"/>
        </w:rPr>
        <w:t>3.8本工程</w:t>
      </w:r>
      <w:r>
        <w:rPr>
          <w:rFonts w:hint="eastAsia" w:eastAsiaTheme="minorHAnsi"/>
          <w:szCs w:val="21"/>
          <w:highlight w:val="none"/>
          <w:u w:val="single"/>
        </w:rPr>
        <w:t xml:space="preserve">   </w:t>
      </w:r>
      <w:r>
        <w:rPr>
          <w:rFonts w:hint="eastAsia" w:eastAsiaTheme="minorHAnsi"/>
          <w:szCs w:val="21"/>
          <w:highlight w:val="none"/>
        </w:rPr>
        <w:t>接受联合体投标。</w:t>
      </w:r>
    </w:p>
    <w:p>
      <w:pPr>
        <w:spacing w:line="360" w:lineRule="auto"/>
        <w:ind w:firstLine="540" w:firstLineChars="257"/>
        <w:outlineLvl w:val="1"/>
        <w:rPr>
          <w:rFonts w:eastAsiaTheme="minorHAnsi"/>
          <w:b/>
          <w:szCs w:val="21"/>
          <w:highlight w:val="none"/>
        </w:rPr>
      </w:pPr>
      <w:bookmarkStart w:id="5" w:name="_Toc14695"/>
      <w:r>
        <w:rPr>
          <w:rFonts w:hint="eastAsia" w:eastAsiaTheme="minorHAnsi"/>
          <w:b/>
          <w:szCs w:val="21"/>
          <w:highlight w:val="none"/>
        </w:rPr>
        <w:t>4. 招标文件的获取</w:t>
      </w:r>
      <w:bookmarkEnd w:id="5"/>
    </w:p>
    <w:p>
      <w:pPr>
        <w:spacing w:line="360" w:lineRule="auto"/>
        <w:ind w:firstLine="539" w:firstLineChars="257"/>
        <w:outlineLvl w:val="1"/>
        <w:rPr>
          <w:rFonts w:eastAsiaTheme="minorHAnsi"/>
          <w:szCs w:val="21"/>
          <w:highlight w:val="none"/>
        </w:rPr>
      </w:pPr>
      <w:bookmarkStart w:id="6" w:name="_Toc17077"/>
      <w:r>
        <w:rPr>
          <w:rFonts w:hint="eastAsia" w:eastAsiaTheme="minorHAnsi"/>
          <w:szCs w:val="21"/>
          <w:highlight w:val="none"/>
        </w:rPr>
        <w:t>4.1凡有意参加投标者，请于</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w:t>
      </w:r>
      <w:r>
        <w:rPr>
          <w:rFonts w:hint="eastAsia" w:eastAsiaTheme="minorHAnsi"/>
          <w:szCs w:val="21"/>
          <w:highlight w:val="none"/>
          <w:u w:val="single"/>
        </w:rPr>
        <w:t xml:space="preserve">    </w:t>
      </w:r>
      <w:r>
        <w:rPr>
          <w:rFonts w:hint="eastAsia" w:eastAsiaTheme="minorHAnsi"/>
          <w:szCs w:val="21"/>
          <w:highlight w:val="none"/>
        </w:rPr>
        <w:t>时</w:t>
      </w:r>
      <w:r>
        <w:rPr>
          <w:rFonts w:hint="eastAsia" w:eastAsiaTheme="minorHAnsi"/>
          <w:szCs w:val="21"/>
          <w:highlight w:val="none"/>
          <w:u w:val="single"/>
        </w:rPr>
        <w:t xml:space="preserve">    </w:t>
      </w:r>
      <w:r>
        <w:rPr>
          <w:rFonts w:hint="eastAsia" w:eastAsiaTheme="minorHAnsi"/>
          <w:szCs w:val="21"/>
          <w:highlight w:val="none"/>
        </w:rPr>
        <w:t>分前登录潮州市公共资源交易中心网（www.czggzy.com）下载招标文件等相关资料。</w:t>
      </w:r>
      <w:r>
        <w:rPr>
          <w:rFonts w:hint="eastAsia" w:eastAsiaTheme="minorHAnsi"/>
          <w:szCs w:val="21"/>
          <w:highlight w:val="none"/>
          <w:lang w:eastAsia="zh-CN"/>
        </w:rPr>
        <w:t>投标</w:t>
      </w:r>
      <w:r>
        <w:rPr>
          <w:rFonts w:hint="eastAsia" w:eastAsiaTheme="minorHAnsi"/>
          <w:szCs w:val="21"/>
          <w:highlight w:val="none"/>
        </w:rPr>
        <w:t>截止时间以潮州市公共资源交易中心网系统公布的时间为准（系统操作详见建设工程网上交易系统使用指南，潮州市公共资源交易中心咨询电话0768-2393020）。</w:t>
      </w:r>
      <w:bookmarkEnd w:id="6"/>
    </w:p>
    <w:p>
      <w:pPr>
        <w:spacing w:line="360" w:lineRule="auto"/>
        <w:ind w:firstLine="539" w:firstLineChars="257"/>
        <w:outlineLvl w:val="1"/>
        <w:rPr>
          <w:rFonts w:eastAsiaTheme="minorHAnsi"/>
          <w:szCs w:val="21"/>
          <w:highlight w:val="none"/>
        </w:rPr>
      </w:pPr>
      <w:bookmarkStart w:id="7" w:name="_Toc23437"/>
      <w:r>
        <w:rPr>
          <w:rFonts w:hint="eastAsia" w:eastAsiaTheme="minorHAnsi"/>
          <w:szCs w:val="21"/>
          <w:highlight w:val="none"/>
        </w:rPr>
        <w:t>4.2请投标人报名后密切留意系统中项目发出的补充文件、澄清、答疑与本工程相关的信息。</w:t>
      </w:r>
      <w:bookmarkEnd w:id="7"/>
    </w:p>
    <w:p>
      <w:pPr>
        <w:spacing w:line="360" w:lineRule="auto"/>
        <w:ind w:firstLine="540" w:firstLineChars="257"/>
        <w:outlineLvl w:val="1"/>
        <w:rPr>
          <w:rFonts w:eastAsiaTheme="minorHAnsi"/>
          <w:b/>
          <w:szCs w:val="21"/>
          <w:highlight w:val="none"/>
        </w:rPr>
      </w:pPr>
      <w:bookmarkStart w:id="8" w:name="_Toc5999"/>
      <w:r>
        <w:rPr>
          <w:rFonts w:hint="eastAsia" w:eastAsiaTheme="minorHAnsi"/>
          <w:b/>
          <w:szCs w:val="21"/>
          <w:highlight w:val="none"/>
        </w:rPr>
        <w:t>5. 投标文件的递交</w:t>
      </w:r>
      <w:bookmarkEnd w:id="8"/>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.1 投标文件递交的截止时间（投标截止时间，下同）为</w:t>
      </w:r>
      <w:r>
        <w:rPr>
          <w:rFonts w:hint="eastAsia" w:ascii="宋体" w:hAnsi="宋体"/>
          <w:sz w:val="22"/>
          <w:highlight w:val="none"/>
          <w:lang w:val="en-US" w:eastAsia="zh-CN"/>
        </w:rPr>
        <w:t xml:space="preserve">   </w:t>
      </w:r>
      <w:r>
        <w:rPr>
          <w:rFonts w:hint="eastAsia" w:ascii="宋体" w:hAnsi="宋体"/>
          <w:sz w:val="22"/>
          <w:highlight w:val="none"/>
        </w:rPr>
        <w:t>年  月  日</w:t>
      </w:r>
      <w:r>
        <w:rPr>
          <w:rFonts w:hint="eastAsia" w:ascii="宋体" w:hAnsi="宋体"/>
          <w:sz w:val="22"/>
          <w:highlight w:val="none"/>
          <w:lang w:val="en-US" w:eastAsia="zh-CN"/>
        </w:rPr>
        <w:t xml:space="preserve"> </w:t>
      </w:r>
      <w:r>
        <w:rPr>
          <w:rFonts w:hint="eastAsia" w:ascii="宋体" w:hAnsi="宋体"/>
          <w:sz w:val="22"/>
          <w:highlight w:val="none"/>
        </w:rPr>
        <w:t>时。</w:t>
      </w:r>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.2网上递交：投标人须在投标截止时间前完成所有投标文件的上传，网上确认数字签名。（详细操作方式见潮州市公共资源交易中心</w:t>
      </w:r>
      <w:r>
        <w:rPr>
          <w:rFonts w:hint="eastAsia" w:ascii="宋体" w:hAnsi="宋体"/>
          <w:sz w:val="22"/>
          <w:highlight w:val="none"/>
          <w:lang w:eastAsia="zh-CN"/>
        </w:rPr>
        <w:t>（</w:t>
      </w:r>
      <w:r>
        <w:rPr>
          <w:rFonts w:hint="eastAsia" w:ascii="宋体" w:hAnsi="宋体"/>
          <w:sz w:val="22"/>
          <w:highlight w:val="none"/>
        </w:rPr>
        <w:t>www.czggzy.com</w:t>
      </w:r>
      <w:r>
        <w:rPr>
          <w:rFonts w:hint="eastAsia" w:ascii="宋体" w:hAnsi="宋体"/>
          <w:sz w:val="22"/>
          <w:highlight w:val="none"/>
          <w:lang w:eastAsia="zh-CN"/>
        </w:rPr>
        <w:t>）</w:t>
      </w:r>
      <w:r>
        <w:rPr>
          <w:rFonts w:hint="eastAsia" w:ascii="宋体" w:hAnsi="宋体"/>
          <w:sz w:val="22"/>
          <w:highlight w:val="none"/>
        </w:rPr>
        <w:t>首页-资料下载-工程交易-“建设工程投标系统系统使用指南-投标人”，咨询电话0768-2393020）。逾期上传的投标文件，招标人不予受理。</w:t>
      </w:r>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.3本项目完全采用电子招投标，投标人无需到现场参加开标及递交纸质版投标文件</w:t>
      </w:r>
      <w:r>
        <w:rPr>
          <w:rFonts w:hint="eastAsia" w:ascii="宋体" w:hAnsi="宋体"/>
          <w:sz w:val="22"/>
          <w:highlight w:val="none"/>
          <w:lang w:eastAsia="zh-CN"/>
        </w:rPr>
        <w:t>，</w:t>
      </w:r>
      <w:r>
        <w:rPr>
          <w:rFonts w:hint="eastAsia" w:ascii="宋体" w:hAnsi="宋体"/>
          <w:sz w:val="22"/>
          <w:highlight w:val="none"/>
          <w:lang w:val="en-US" w:eastAsia="zh-CN"/>
        </w:rPr>
        <w:t>投标人授权委托人应在投标文件中署明联系电话</w:t>
      </w:r>
      <w:r>
        <w:rPr>
          <w:rFonts w:hint="eastAsia" w:ascii="宋体" w:hAnsi="宋体"/>
          <w:sz w:val="22"/>
          <w:highlight w:val="none"/>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w:t>
      </w:r>
    </w:p>
    <w:p>
      <w:pPr>
        <w:kinsoku w:val="0"/>
        <w:overflowPunct w:val="0"/>
        <w:spacing w:before="36" w:line="360" w:lineRule="auto"/>
        <w:ind w:left="112" w:right="103" w:firstLine="439"/>
        <w:rPr>
          <w:sz w:val="11"/>
          <w:highlight w:val="none"/>
        </w:rPr>
      </w:pPr>
      <w:r>
        <w:rPr>
          <w:rFonts w:hint="eastAsia" w:ascii="宋体" w:hAnsi="宋体"/>
          <w:sz w:val="22"/>
          <w:highlight w:val="none"/>
          <w:lang w:val="en-US" w:eastAsia="zh-CN"/>
        </w:rPr>
        <w:t>5</w:t>
      </w:r>
      <w:r>
        <w:rPr>
          <w:rFonts w:hint="eastAsia" w:ascii="宋体" w:hAnsi="宋体"/>
          <w:sz w:val="22"/>
          <w:highlight w:val="none"/>
        </w:rPr>
        <w:t>.4中标人在领取中标通知书时须按招标文件要求同时提交电子版投标文件及一套纸质版的投标文件（纸质版投标文件份数要求正本一份，副本叁份</w:t>
      </w:r>
      <w:r>
        <w:rPr>
          <w:rFonts w:hint="eastAsia" w:ascii="宋体" w:hAnsi="宋体"/>
          <w:sz w:val="22"/>
          <w:highlight w:val="none"/>
          <w:lang w:eastAsia="zh-CN"/>
        </w:rPr>
        <w:t>；</w:t>
      </w:r>
      <w:r>
        <w:rPr>
          <w:rFonts w:hint="eastAsia" w:ascii="宋体" w:hAnsi="宋体"/>
          <w:sz w:val="22"/>
          <w:highlight w:val="none"/>
        </w:rPr>
        <w:t>副本可以是正本盖章、签字后的复印件），纸质版投标文件需与电子版投标文件一致。</w:t>
      </w:r>
    </w:p>
    <w:p>
      <w:pPr>
        <w:spacing w:line="360" w:lineRule="auto"/>
        <w:ind w:firstLine="540" w:firstLineChars="257"/>
        <w:rPr>
          <w:rFonts w:eastAsiaTheme="minorHAnsi"/>
          <w:b/>
          <w:szCs w:val="21"/>
          <w:highlight w:val="none"/>
        </w:rPr>
      </w:pPr>
      <w:r>
        <w:rPr>
          <w:rFonts w:hint="eastAsia" w:eastAsiaTheme="minorHAnsi"/>
          <w:b/>
          <w:szCs w:val="21"/>
          <w:highlight w:val="none"/>
        </w:rPr>
        <w:t>6. 发布公告的媒介</w:t>
      </w:r>
    </w:p>
    <w:p>
      <w:pPr>
        <w:spacing w:line="360" w:lineRule="auto"/>
        <w:ind w:firstLine="539" w:firstLineChars="257"/>
        <w:rPr>
          <w:highlight w:val="none"/>
        </w:rPr>
      </w:pPr>
      <w:r>
        <w:rPr>
          <w:rFonts w:hint="eastAsia" w:eastAsiaTheme="minorHAnsi"/>
          <w:szCs w:val="21"/>
          <w:highlight w:val="none"/>
        </w:rPr>
        <w:t>本次招标公告同时在广东省招标投标监管网、潮州市公共资源交易网上发布。本公告的修改、补充、澄清、更改，在潮州市公共资源交易网发布。</w:t>
      </w:r>
    </w:p>
    <w:p>
      <w:pPr>
        <w:spacing w:line="360" w:lineRule="auto"/>
        <w:ind w:firstLine="540" w:firstLineChars="257"/>
        <w:outlineLvl w:val="1"/>
        <w:rPr>
          <w:rFonts w:eastAsiaTheme="minorHAnsi"/>
          <w:b/>
          <w:szCs w:val="21"/>
          <w:highlight w:val="none"/>
        </w:rPr>
      </w:pPr>
      <w:bookmarkStart w:id="9" w:name="_Toc8824"/>
      <w:r>
        <w:rPr>
          <w:rFonts w:hint="eastAsia" w:eastAsiaTheme="minorHAnsi"/>
          <w:b/>
          <w:szCs w:val="21"/>
          <w:highlight w:val="none"/>
          <w:lang w:val="en-US" w:eastAsia="zh-CN"/>
        </w:rPr>
        <w:t>7.</w:t>
      </w:r>
      <w:r>
        <w:rPr>
          <w:rFonts w:hint="eastAsia" w:eastAsiaTheme="minorHAnsi"/>
          <w:b/>
          <w:szCs w:val="21"/>
          <w:highlight w:val="none"/>
        </w:rPr>
        <w:t xml:space="preserve"> 联系方式</w:t>
      </w:r>
      <w:bookmarkEnd w:id="9"/>
    </w:p>
    <w:p>
      <w:pPr>
        <w:spacing w:line="360" w:lineRule="auto"/>
        <w:ind w:left="5313" w:hanging="5313" w:hangingChars="2530"/>
        <w:rPr>
          <w:rFonts w:eastAsiaTheme="minorHAnsi"/>
          <w:szCs w:val="21"/>
          <w:highlight w:val="none"/>
        </w:rPr>
      </w:pPr>
      <w:r>
        <w:rPr>
          <w:rFonts w:hint="eastAsia" w:eastAsiaTheme="minorHAnsi"/>
          <w:szCs w:val="21"/>
          <w:highlight w:val="none"/>
        </w:rPr>
        <w:t xml:space="preserve">招标人：                             招标代理机构： </w:t>
      </w:r>
    </w:p>
    <w:p>
      <w:pPr>
        <w:spacing w:line="360" w:lineRule="auto"/>
        <w:ind w:left="4525" w:hanging="4525" w:hangingChars="2155"/>
        <w:rPr>
          <w:rFonts w:eastAsiaTheme="minorHAnsi"/>
          <w:szCs w:val="21"/>
          <w:highlight w:val="none"/>
        </w:rPr>
      </w:pPr>
      <w:r>
        <w:rPr>
          <w:rFonts w:hint="eastAsia" w:eastAsiaTheme="minorHAnsi"/>
          <w:szCs w:val="21"/>
          <w:highlight w:val="none"/>
        </w:rPr>
        <w:t xml:space="preserve">地址：                                地址： </w:t>
      </w:r>
    </w:p>
    <w:p>
      <w:pPr>
        <w:spacing w:line="360" w:lineRule="auto"/>
        <w:rPr>
          <w:rFonts w:eastAsiaTheme="minorHAnsi"/>
          <w:szCs w:val="21"/>
          <w:highlight w:val="none"/>
        </w:rPr>
      </w:pPr>
      <w:r>
        <w:rPr>
          <w:rFonts w:hint="eastAsia" w:eastAsiaTheme="minorHAnsi"/>
          <w:szCs w:val="21"/>
          <w:highlight w:val="none"/>
        </w:rPr>
        <w:t>法定代表人或授权委托人签名：         法定代表人或授权委托人签名：</w:t>
      </w:r>
    </w:p>
    <w:p>
      <w:pPr>
        <w:spacing w:line="360" w:lineRule="auto"/>
        <w:rPr>
          <w:rFonts w:eastAsiaTheme="minorHAnsi"/>
          <w:szCs w:val="21"/>
          <w:highlight w:val="none"/>
        </w:rPr>
      </w:pPr>
      <w:r>
        <w:rPr>
          <w:rFonts w:hint="eastAsia" w:eastAsiaTheme="minorHAnsi"/>
          <w:szCs w:val="21"/>
          <w:highlight w:val="none"/>
        </w:rPr>
        <w:t xml:space="preserve">联  系  人：                         联  系  人： </w:t>
      </w:r>
    </w:p>
    <w:p>
      <w:pPr>
        <w:spacing w:line="360" w:lineRule="auto"/>
        <w:rPr>
          <w:rFonts w:eastAsiaTheme="minorHAnsi"/>
          <w:szCs w:val="21"/>
          <w:highlight w:val="none"/>
        </w:rPr>
      </w:pPr>
      <w:r>
        <w:rPr>
          <w:rFonts w:hint="eastAsia" w:eastAsiaTheme="minorHAnsi"/>
          <w:szCs w:val="21"/>
          <w:highlight w:val="none"/>
        </w:rPr>
        <w:t>电     话：                         电     话：</w:t>
      </w:r>
    </w:p>
    <w:p>
      <w:pPr>
        <w:spacing w:line="360" w:lineRule="auto"/>
        <w:ind w:firstLine="539" w:firstLineChars="257"/>
        <w:rPr>
          <w:rFonts w:eastAsiaTheme="minorHAnsi"/>
          <w:szCs w:val="21"/>
          <w:highlight w:val="none"/>
        </w:rPr>
      </w:pPr>
      <w:r>
        <w:rPr>
          <w:rFonts w:hint="eastAsia" w:eastAsiaTheme="minorHAnsi"/>
          <w:szCs w:val="21"/>
          <w:highlight w:val="none"/>
        </w:rPr>
        <w:t xml:space="preserve"> </w:t>
      </w:r>
    </w:p>
    <w:p>
      <w:pPr>
        <w:jc w:val="right"/>
        <w:rPr>
          <w:rFonts w:eastAsiaTheme="minorHAnsi"/>
          <w:highlight w:val="none"/>
        </w:rPr>
      </w:pPr>
      <w:r>
        <w:rPr>
          <w:rFonts w:hint="eastAsia" w:eastAsiaTheme="minorHAnsi"/>
          <w:szCs w:val="21"/>
          <w:highlight w:val="none"/>
        </w:rPr>
        <w:t>年   月   日</w:t>
      </w:r>
    </w:p>
    <w:p>
      <w:pPr>
        <w:rPr>
          <w:rFonts w:hint="eastAsia"/>
          <w:b/>
          <w:sz w:val="52"/>
          <w:szCs w:val="52"/>
          <w:highlight w:val="none"/>
        </w:rPr>
      </w:pPr>
      <w:r>
        <w:rPr>
          <w:rFonts w:hint="eastAsia"/>
          <w:b/>
          <w:sz w:val="52"/>
          <w:szCs w:val="52"/>
          <w:highlight w:val="none"/>
        </w:rPr>
        <w:br w:type="page"/>
      </w:r>
    </w:p>
    <w:p>
      <w:pPr>
        <w:numPr>
          <w:ilvl w:val="0"/>
          <w:numId w:val="0"/>
        </w:numPr>
        <w:adjustRightInd w:val="0"/>
        <w:snapToGrid w:val="0"/>
        <w:spacing w:line="360" w:lineRule="auto"/>
        <w:jc w:val="both"/>
        <w:outlineLvl w:val="0"/>
        <w:rPr>
          <w:rFonts w:hint="eastAsia" w:ascii="黑体" w:eastAsia="黑体"/>
          <w:b/>
          <w:kern w:val="0"/>
          <w:sz w:val="36"/>
          <w:highlight w:val="none"/>
        </w:rPr>
      </w:pPr>
    </w:p>
    <w:p>
      <w:pPr>
        <w:numPr>
          <w:ilvl w:val="0"/>
          <w:numId w:val="0"/>
        </w:numPr>
        <w:adjustRightInd w:val="0"/>
        <w:snapToGrid w:val="0"/>
        <w:spacing w:line="360" w:lineRule="auto"/>
        <w:jc w:val="center"/>
        <w:outlineLvl w:val="0"/>
        <w:rPr>
          <w:rFonts w:ascii="黑体" w:eastAsia="黑体"/>
          <w:b/>
          <w:kern w:val="0"/>
          <w:sz w:val="36"/>
          <w:highlight w:val="none"/>
        </w:rPr>
      </w:pPr>
      <w:r>
        <w:rPr>
          <w:rFonts w:hint="eastAsia" w:ascii="黑体" w:eastAsia="黑体"/>
          <w:b/>
          <w:kern w:val="0"/>
          <w:sz w:val="36"/>
          <w:highlight w:val="none"/>
        </w:rPr>
        <w:t>第二章  投标须知</w:t>
      </w:r>
      <w:bookmarkEnd w:id="1"/>
    </w:p>
    <w:p>
      <w:pPr>
        <w:adjustRightInd w:val="0"/>
        <w:snapToGrid w:val="0"/>
        <w:spacing w:line="360" w:lineRule="auto"/>
        <w:jc w:val="center"/>
        <w:outlineLvl w:val="1"/>
        <w:rPr>
          <w:rFonts w:ascii="宋体" w:hAnsi="宋体"/>
          <w:b/>
          <w:kern w:val="0"/>
          <w:sz w:val="30"/>
          <w:highlight w:val="none"/>
        </w:rPr>
      </w:pPr>
      <w:bookmarkStart w:id="10" w:name="_Toc8591"/>
      <w:r>
        <w:rPr>
          <w:rFonts w:hint="eastAsia" w:ascii="宋体" w:hAnsi="宋体"/>
          <w:b/>
          <w:kern w:val="0"/>
          <w:sz w:val="30"/>
          <w:highlight w:val="none"/>
        </w:rPr>
        <w:t>一、 投标须知前附表</w:t>
      </w:r>
      <w:bookmarkEnd w:id="10"/>
    </w:p>
    <w:p>
      <w:pPr>
        <w:adjustRightInd w:val="0"/>
        <w:snapToGrid w:val="0"/>
        <w:spacing w:line="360" w:lineRule="auto"/>
        <w:jc w:val="center"/>
        <w:outlineLvl w:val="2"/>
        <w:rPr>
          <w:rFonts w:ascii="宋体" w:hAnsi="宋体"/>
          <w:b/>
          <w:kern w:val="0"/>
          <w:highlight w:val="none"/>
        </w:rPr>
      </w:pPr>
      <w:bookmarkStart w:id="11" w:name="_Toc19411"/>
      <w:r>
        <w:rPr>
          <w:rFonts w:hint="eastAsia" w:ascii="宋体" w:hAnsi="宋体"/>
          <w:b/>
          <w:kern w:val="0"/>
          <w:highlight w:val="none"/>
        </w:rPr>
        <w:t>（一）招标项目基本情况</w:t>
      </w:r>
      <w:bookmarkEnd w:id="11"/>
    </w:p>
    <w:tbl>
      <w:tblPr>
        <w:tblStyle w:val="8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406"/>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lang w:eastAsia="zh-CN"/>
              </w:rPr>
              <w:t>条款</w:t>
            </w:r>
            <w:r>
              <w:rPr>
                <w:rFonts w:hint="eastAsia" w:ascii="宋体" w:hAnsi="宋体"/>
                <w:b w:val="0"/>
                <w:bCs/>
                <w:kern w:val="0"/>
                <w:szCs w:val="21"/>
                <w:highlight w:val="none"/>
              </w:rPr>
              <w:t>号</w:t>
            </w: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内容</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lang w:eastAsia="zh-CN"/>
              </w:rPr>
              <w:t>项目</w:t>
            </w:r>
            <w:r>
              <w:rPr>
                <w:rFonts w:hint="eastAsia" w:ascii="宋体" w:hAnsi="宋体"/>
                <w:b w:val="0"/>
                <w:bCs/>
                <w:kern w:val="0"/>
                <w:szCs w:val="21"/>
                <w:highlight w:val="none"/>
              </w:rPr>
              <w:t>名称</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工程地点</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工程规模及主要特征</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招标范围</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投标人资质要求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投标人业绩要求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是否接受联合体投标</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rPr>
              <w:t>□</w:t>
            </w:r>
            <w:r>
              <w:rPr>
                <w:rFonts w:hint="eastAsia" w:ascii="宋体" w:hAnsi="宋体"/>
                <w:b w:val="0"/>
                <w:bCs/>
                <w:kern w:val="0"/>
                <w:szCs w:val="21"/>
                <w:highlight w:val="none"/>
              </w:rPr>
              <w:t>不接受</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rPr>
              <w:t>□</w:t>
            </w:r>
            <w:r>
              <w:rPr>
                <w:rFonts w:hint="eastAsia" w:ascii="宋体" w:hAnsi="宋体"/>
                <w:b w:val="0"/>
                <w:bCs/>
                <w:kern w:val="0"/>
                <w:szCs w:val="21"/>
                <w:highlight w:val="none"/>
              </w:rPr>
              <w:t>接受</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注：联合体资质应符合法律法规的规定，并按照联合体协议约定的分工进行认定。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default" w:ascii="宋体" w:hAnsi="宋体"/>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r>
              <w:rPr>
                <w:rFonts w:hint="eastAsia" w:ascii="宋体" w:hAnsi="宋体"/>
                <w:b w:val="0"/>
                <w:bCs/>
                <w:kern w:val="0"/>
                <w:szCs w:val="21"/>
                <w:highlight w:val="none"/>
                <w:lang w:eastAsia="zh-CN"/>
              </w:rPr>
              <w:t>工程监理服务期限</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color w:val="0000FF"/>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lang w:eastAsia="zh-CN"/>
              </w:rPr>
            </w:pPr>
            <w:r>
              <w:rPr>
                <w:rFonts w:hint="eastAsia" w:ascii="宋体" w:hAnsi="宋体"/>
                <w:b w:val="0"/>
                <w:bCs/>
                <w:kern w:val="0"/>
                <w:szCs w:val="21"/>
                <w:highlight w:val="none"/>
                <w:lang w:eastAsia="zh-CN"/>
              </w:rPr>
              <w:t>质量标准</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color w:val="0000FF"/>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工程</w:t>
            </w:r>
            <w:r>
              <w:rPr>
                <w:rFonts w:ascii="宋体" w:hAnsi="宋体"/>
                <w:b w:val="0"/>
                <w:bCs/>
                <w:kern w:val="0"/>
                <w:szCs w:val="21"/>
                <w:highlight w:val="none"/>
              </w:rPr>
              <w:t>总投资</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u w:val="single"/>
              </w:rPr>
              <w:t xml:space="preserve">      </w:t>
            </w:r>
            <w:r>
              <w:rPr>
                <w:rFonts w:ascii="宋体" w:hAnsi="宋体"/>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default" w:ascii="宋体" w:hAnsi="宋体" w:eastAsiaTheme="minorEastAsia"/>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r>
              <w:rPr>
                <w:rFonts w:hint="eastAsia" w:ascii="宋体" w:hAnsi="宋体"/>
                <w:b w:val="0"/>
                <w:bCs/>
                <w:kern w:val="0"/>
                <w:szCs w:val="21"/>
                <w:highlight w:val="none"/>
                <w:lang w:eastAsia="zh-CN"/>
              </w:rPr>
              <w:t>监理</w:t>
            </w:r>
            <w:r>
              <w:rPr>
                <w:rFonts w:hint="eastAsia" w:ascii="宋体" w:hAnsi="宋体"/>
                <w:b w:val="0"/>
                <w:bCs/>
                <w:kern w:val="0"/>
                <w:szCs w:val="21"/>
                <w:highlight w:val="none"/>
              </w:rPr>
              <w:t>费</w:t>
            </w:r>
            <w:r>
              <w:rPr>
                <w:rFonts w:hint="eastAsia" w:ascii="宋体" w:hAnsi="宋体"/>
                <w:b w:val="0"/>
                <w:bCs/>
                <w:kern w:val="0"/>
                <w:szCs w:val="21"/>
                <w:highlight w:val="none"/>
                <w:lang w:eastAsia="zh-CN"/>
              </w:rPr>
              <w:t>最高投标限价</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资格审查方式</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踏勘现场</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r>
              <w:rPr>
                <w:rFonts w:hint="eastAsia" w:ascii="宋体" w:hAnsi="宋体"/>
                <w:b w:val="0"/>
                <w:bCs/>
                <w:kern w:val="0"/>
                <w:szCs w:val="21"/>
                <w:highlight w:val="none"/>
                <w:lang w:eastAsia="zh-CN"/>
              </w:rPr>
              <w:t>不组织，投标人需要了解现场情况的，可自行进行现场踏勘。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rPr>
              <w:t>投标文件递交</w:t>
            </w:r>
          </w:p>
        </w:tc>
        <w:tc>
          <w:tcPr>
            <w:tcW w:w="6581" w:type="dxa"/>
            <w:shd w:val="clear" w:color="auto" w:fill="auto"/>
            <w:vAlign w:val="center"/>
          </w:tcPr>
          <w:p>
            <w:pPr>
              <w:keepNext w:val="0"/>
              <w:keepLines w:val="0"/>
              <w:pageBreakBefore w:val="0"/>
              <w:widowControl/>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地点：</w:t>
            </w:r>
            <w:r>
              <w:rPr>
                <w:rFonts w:hint="eastAsia" w:ascii="Times New Roman" w:hAnsi="Times New Roman" w:eastAsia="宋体" w:cs="Courier New"/>
                <w:b w:val="0"/>
                <w:bCs/>
                <w:kern w:val="0"/>
                <w:szCs w:val="21"/>
                <w:highlight w:val="none"/>
                <w:u w:val="single"/>
              </w:rPr>
              <w:t xml:space="preserve">      </w:t>
            </w:r>
            <w:r>
              <w:rPr>
                <w:rFonts w:ascii="Times New Roman" w:hAnsi="Times New Roman" w:eastAsia="宋体" w:cs="Courier New"/>
                <w:b w:val="0"/>
                <w:bCs/>
                <w:kern w:val="0"/>
                <w:szCs w:val="21"/>
                <w:highlight w:val="none"/>
              </w:rPr>
              <w:t xml:space="preserve"> </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rPr>
              <w:t>截止时间：</w:t>
            </w:r>
            <w:r>
              <w:rPr>
                <w:rFonts w:hint="eastAsia" w:ascii="Times New Roman" w:hAnsi="Times New Roman" w:eastAsia="宋体" w:cs="Courier New"/>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eastAsia="宋体" w:cs="Times New Roman"/>
                <w:b w:val="0"/>
                <w:bCs/>
                <w:kern w:val="2"/>
                <w:sz w:val="21"/>
                <w:szCs w:val="22"/>
                <w:highlight w:val="none"/>
                <w:lang w:val="en-US" w:eastAsia="zh-CN" w:bidi="ar-SA"/>
              </w:rPr>
              <w:t>投标文件签字或盖章要求</w:t>
            </w:r>
          </w:p>
        </w:tc>
        <w:tc>
          <w:tcPr>
            <w:tcW w:w="6581" w:type="dxa"/>
            <w:shd w:val="clear" w:color="auto" w:fill="auto"/>
            <w:vAlign w:val="center"/>
          </w:tcPr>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电子投标文件签字或盖章要求：</w:t>
            </w:r>
          </w:p>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①招标文件提供的投标文件格式中规定要求签名、盖章的地方均须由投标人的法定代表人或其授权代理人签名或盖章，并加盖投标人单位公章。</w:t>
            </w:r>
          </w:p>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②本项目电子投标文件进行电子签章再上传至投标系统，电子签章具体操作流程请参照《电子签章操作指南》。</w:t>
            </w:r>
          </w:p>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rPr>
              <w:t>注：若以联合体形式进行投标，除招标文件有规定外，其它均由联合体牵头人签字盖章即可。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right="51" w:rightChars="0"/>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人提</w:t>
            </w:r>
            <w:r>
              <w:rPr>
                <w:rFonts w:hint="eastAsia" w:ascii="宋体" w:hAnsi="宋体"/>
                <w:b w:val="0"/>
                <w:bCs/>
                <w:sz w:val="21"/>
                <w:highlight w:val="none"/>
              </w:rPr>
              <w:t>出</w:t>
            </w:r>
            <w:r>
              <w:rPr>
                <w:rFonts w:hint="eastAsia" w:ascii="宋体" w:hAnsi="宋体"/>
                <w:b w:val="0"/>
                <w:bCs/>
                <w:spacing w:val="-3"/>
                <w:sz w:val="21"/>
                <w:highlight w:val="none"/>
              </w:rPr>
              <w:t>问</w:t>
            </w:r>
            <w:r>
              <w:rPr>
                <w:rFonts w:hint="eastAsia" w:ascii="宋体" w:hAnsi="宋体"/>
                <w:b w:val="0"/>
                <w:bCs/>
                <w:sz w:val="21"/>
                <w:highlight w:val="none"/>
              </w:rPr>
              <w:t>题</w:t>
            </w:r>
            <w:r>
              <w:rPr>
                <w:rFonts w:hint="eastAsia" w:ascii="宋体" w:hAnsi="宋体"/>
                <w:b w:val="0"/>
                <w:bCs/>
                <w:sz w:val="21"/>
                <w:highlight w:val="none"/>
                <w:lang w:eastAsia="zh-CN"/>
              </w:rPr>
              <w:t>的截止时间</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hint="eastAsia" w:ascii="宋体" w:hAnsi="宋体"/>
                <w:b w:val="0"/>
                <w:bCs/>
                <w:sz w:val="21"/>
                <w:highlight w:val="none"/>
              </w:rPr>
            </w:pPr>
            <w:r>
              <w:rPr>
                <w:rFonts w:hint="eastAsia" w:ascii="宋体" w:hAnsi="宋体"/>
                <w:b w:val="0"/>
                <w:bCs/>
                <w:sz w:val="21"/>
                <w:highlight w:val="none"/>
              </w:rPr>
              <w:t>年 月</w:t>
            </w:r>
            <w:r>
              <w:rPr>
                <w:rFonts w:hint="eastAsia" w:ascii="宋体" w:hAnsi="宋体"/>
                <w:b w:val="0"/>
                <w:bCs/>
                <w:sz w:val="21"/>
                <w:highlight w:val="none"/>
                <w:lang w:val="en-US" w:eastAsia="zh-CN"/>
              </w:rPr>
              <w:t xml:space="preserve"> </w:t>
            </w:r>
            <w:r>
              <w:rPr>
                <w:rFonts w:hint="eastAsia" w:ascii="宋体" w:hAnsi="宋体"/>
                <w:b w:val="0"/>
                <w:bCs/>
                <w:sz w:val="21"/>
                <w:highlight w:val="none"/>
              </w:rPr>
              <w:t>日</w:t>
            </w:r>
            <w:r>
              <w:rPr>
                <w:rFonts w:hint="eastAsia" w:ascii="宋体" w:hAnsi="宋体"/>
                <w:b w:val="0"/>
                <w:bCs/>
                <w:sz w:val="21"/>
                <w:highlight w:val="none"/>
                <w:lang w:val="en-US" w:eastAsia="zh-CN"/>
              </w:rPr>
              <w:t xml:space="preserve"> 时 分</w:t>
            </w:r>
            <w:r>
              <w:rPr>
                <w:rFonts w:hint="eastAsia" w:ascii="宋体" w:hAnsi="宋体"/>
                <w:b w:val="0"/>
                <w:bCs/>
                <w:sz w:val="21"/>
                <w:highlight w:val="none"/>
              </w:rPr>
              <w:t>前投标人</w:t>
            </w:r>
            <w:r>
              <w:rPr>
                <w:rFonts w:hint="eastAsia" w:ascii="宋体" w:hAnsi="宋体"/>
                <w:b w:val="0"/>
                <w:bCs/>
                <w:spacing w:val="-3"/>
                <w:sz w:val="21"/>
                <w:highlight w:val="none"/>
              </w:rPr>
              <w:t>可</w:t>
            </w:r>
            <w:r>
              <w:rPr>
                <w:rFonts w:hint="eastAsia" w:ascii="宋体" w:hAnsi="宋体"/>
                <w:b w:val="0"/>
                <w:bCs/>
                <w:sz w:val="21"/>
                <w:highlight w:val="none"/>
              </w:rPr>
              <w:t>登</w:t>
            </w:r>
            <w:r>
              <w:rPr>
                <w:rFonts w:hint="eastAsia" w:ascii="宋体" w:hAnsi="宋体"/>
                <w:b w:val="0"/>
                <w:bCs/>
                <w:spacing w:val="-3"/>
                <w:sz w:val="21"/>
                <w:highlight w:val="none"/>
              </w:rPr>
              <w:t>陆</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共资</w:t>
            </w:r>
            <w:r>
              <w:rPr>
                <w:rFonts w:hint="eastAsia" w:ascii="宋体" w:hAnsi="宋体"/>
                <w:b w:val="0"/>
                <w:bCs/>
                <w:spacing w:val="-3"/>
                <w:sz w:val="21"/>
                <w:highlight w:val="none"/>
              </w:rPr>
              <w:t>源</w:t>
            </w:r>
            <w:r>
              <w:rPr>
                <w:rFonts w:hint="eastAsia" w:ascii="宋体" w:hAnsi="宋体"/>
                <w:b w:val="0"/>
                <w:bCs/>
                <w:sz w:val="21"/>
                <w:highlight w:val="none"/>
              </w:rPr>
              <w:t>交</w:t>
            </w:r>
            <w:r>
              <w:rPr>
                <w:rFonts w:hint="eastAsia" w:ascii="宋体" w:hAnsi="宋体"/>
                <w:b w:val="0"/>
                <w:bCs/>
                <w:spacing w:val="-3"/>
                <w:sz w:val="21"/>
                <w:highlight w:val="none"/>
              </w:rPr>
              <w:t>易</w:t>
            </w:r>
            <w:r>
              <w:rPr>
                <w:rFonts w:hint="eastAsia" w:ascii="宋体" w:hAnsi="宋体"/>
                <w:b w:val="0"/>
                <w:bCs/>
                <w:sz w:val="21"/>
                <w:highlight w:val="none"/>
              </w:rPr>
              <w:t>中心交易</w:t>
            </w:r>
            <w:r>
              <w:rPr>
                <w:rFonts w:hint="eastAsia" w:ascii="宋体" w:hAnsi="宋体"/>
                <w:b w:val="0"/>
                <w:bCs/>
                <w:spacing w:val="-3"/>
                <w:sz w:val="21"/>
                <w:highlight w:val="none"/>
              </w:rPr>
              <w:t>系</w:t>
            </w:r>
            <w:r>
              <w:rPr>
                <w:rFonts w:hint="eastAsia" w:ascii="宋体" w:hAnsi="宋体"/>
                <w:b w:val="0"/>
                <w:bCs/>
                <w:sz w:val="21"/>
                <w:highlight w:val="none"/>
              </w:rPr>
              <w:t>统</w:t>
            </w:r>
            <w:r>
              <w:rPr>
                <w:rFonts w:hint="eastAsia" w:ascii="宋体" w:hAnsi="宋体"/>
                <w:b w:val="0"/>
                <w:bCs/>
                <w:spacing w:val="-13"/>
                <w:sz w:val="21"/>
                <w:highlight w:val="none"/>
              </w:rPr>
              <w:t>，</w:t>
            </w:r>
            <w:r>
              <w:rPr>
                <w:rFonts w:hint="eastAsia" w:ascii="宋体" w:hAnsi="宋体"/>
                <w:b w:val="0"/>
                <w:bCs/>
                <w:sz w:val="21"/>
                <w:highlight w:val="none"/>
              </w:rPr>
              <w:t>按</w:t>
            </w:r>
            <w:r>
              <w:rPr>
                <w:rFonts w:hint="eastAsia" w:ascii="宋体" w:hAnsi="宋体"/>
                <w:b w:val="0"/>
                <w:bCs/>
                <w:spacing w:val="-3"/>
                <w:sz w:val="21"/>
                <w:highlight w:val="none"/>
              </w:rPr>
              <w:t>照</w:t>
            </w:r>
            <w:r>
              <w:rPr>
                <w:rFonts w:hint="eastAsia" w:ascii="宋体" w:hAnsi="宋体"/>
                <w:b w:val="0"/>
                <w:bCs/>
                <w:sz w:val="21"/>
                <w:highlight w:val="none"/>
              </w:rPr>
              <w:t>系</w:t>
            </w:r>
            <w:r>
              <w:rPr>
                <w:rFonts w:hint="eastAsia" w:ascii="宋体" w:hAnsi="宋体"/>
                <w:b w:val="0"/>
                <w:bCs/>
                <w:spacing w:val="-3"/>
                <w:sz w:val="21"/>
                <w:highlight w:val="none"/>
              </w:rPr>
              <w:t>统</w:t>
            </w:r>
            <w:r>
              <w:rPr>
                <w:rFonts w:hint="eastAsia" w:ascii="宋体" w:hAnsi="宋体"/>
                <w:b w:val="0"/>
                <w:bCs/>
                <w:sz w:val="21"/>
                <w:highlight w:val="none"/>
              </w:rPr>
              <w:t>提</w:t>
            </w:r>
            <w:r>
              <w:rPr>
                <w:rFonts w:hint="eastAsia" w:ascii="宋体" w:hAnsi="宋体"/>
                <w:b w:val="0"/>
                <w:bCs/>
                <w:spacing w:val="-3"/>
                <w:sz w:val="21"/>
                <w:highlight w:val="none"/>
              </w:rPr>
              <w:t>示</w:t>
            </w:r>
            <w:r>
              <w:rPr>
                <w:rFonts w:hint="eastAsia" w:ascii="宋体" w:hAnsi="宋体"/>
                <w:b w:val="0"/>
                <w:bCs/>
                <w:sz w:val="21"/>
                <w:highlight w:val="none"/>
              </w:rPr>
              <w:t>进入</w:t>
            </w:r>
            <w:r>
              <w:rPr>
                <w:rFonts w:hint="eastAsia" w:ascii="宋体" w:hAnsi="宋体"/>
                <w:b w:val="0"/>
                <w:bCs/>
                <w:spacing w:val="-3"/>
                <w:sz w:val="21"/>
                <w:highlight w:val="none"/>
              </w:rPr>
              <w:t>项</w:t>
            </w:r>
            <w:r>
              <w:rPr>
                <w:rFonts w:hint="eastAsia" w:ascii="宋体" w:hAnsi="宋体"/>
                <w:b w:val="0"/>
                <w:bCs/>
                <w:sz w:val="21"/>
                <w:highlight w:val="none"/>
              </w:rPr>
              <w:t>目</w:t>
            </w:r>
            <w:r>
              <w:rPr>
                <w:rFonts w:hint="eastAsia" w:ascii="宋体" w:hAnsi="宋体"/>
                <w:b w:val="0"/>
                <w:bCs/>
                <w:spacing w:val="-3"/>
                <w:sz w:val="21"/>
                <w:highlight w:val="none"/>
              </w:rPr>
              <w:t>提</w:t>
            </w:r>
            <w:r>
              <w:rPr>
                <w:rFonts w:hint="eastAsia" w:ascii="宋体" w:hAnsi="宋体"/>
                <w:b w:val="0"/>
                <w:bCs/>
                <w:sz w:val="21"/>
                <w:highlight w:val="none"/>
              </w:rPr>
              <w:t>疑</w:t>
            </w:r>
            <w:r>
              <w:rPr>
                <w:rFonts w:hint="eastAsia" w:ascii="宋体" w:hAnsi="宋体"/>
                <w:b w:val="0"/>
                <w:bCs/>
                <w:spacing w:val="-3"/>
                <w:sz w:val="21"/>
                <w:highlight w:val="none"/>
              </w:rPr>
              <w:t>界</w:t>
            </w:r>
            <w:r>
              <w:rPr>
                <w:rFonts w:hint="eastAsia" w:ascii="宋体" w:hAnsi="宋体"/>
                <w:b w:val="0"/>
                <w:bCs/>
                <w:sz w:val="21"/>
                <w:highlight w:val="none"/>
              </w:rPr>
              <w:t>面</w:t>
            </w:r>
            <w:r>
              <w:rPr>
                <w:rFonts w:hint="eastAsia" w:ascii="宋体" w:hAnsi="宋体"/>
                <w:b w:val="0"/>
                <w:bCs/>
                <w:spacing w:val="-3"/>
                <w:sz w:val="21"/>
                <w:highlight w:val="none"/>
              </w:rPr>
              <w:t>匿</w:t>
            </w:r>
            <w:r>
              <w:rPr>
                <w:rFonts w:hint="eastAsia" w:ascii="宋体" w:hAnsi="宋体"/>
                <w:b w:val="0"/>
                <w:bCs/>
                <w:sz w:val="21"/>
                <w:highlight w:val="none"/>
              </w:rPr>
              <w:t>名</w:t>
            </w:r>
            <w:r>
              <w:rPr>
                <w:rFonts w:hint="eastAsia" w:ascii="宋体" w:hAnsi="宋体"/>
                <w:b w:val="0"/>
                <w:bCs/>
                <w:spacing w:val="-3"/>
                <w:sz w:val="21"/>
                <w:highlight w:val="none"/>
              </w:rPr>
              <w:t>提</w:t>
            </w:r>
            <w:r>
              <w:rPr>
                <w:rFonts w:hint="eastAsia" w:ascii="宋体" w:hAnsi="宋体"/>
                <w:b w:val="0"/>
                <w:bCs/>
                <w:sz w:val="21"/>
                <w:highlight w:val="none"/>
              </w:rPr>
              <w:t>出问</w:t>
            </w:r>
            <w:r>
              <w:rPr>
                <w:rFonts w:hint="eastAsia" w:ascii="宋体" w:hAnsi="宋体"/>
                <w:b w:val="0"/>
                <w:bCs/>
                <w:spacing w:val="-3"/>
                <w:sz w:val="21"/>
                <w:highlight w:val="none"/>
              </w:rPr>
              <w:t>题</w:t>
            </w:r>
            <w:r>
              <w:rPr>
                <w:rFonts w:hint="eastAsia" w:ascii="宋体" w:hAnsi="宋体"/>
                <w:b w:val="0"/>
                <w:bCs/>
                <w:spacing w:val="-10"/>
                <w:sz w:val="21"/>
                <w:highlight w:val="none"/>
              </w:rPr>
              <w:t>。</w:t>
            </w:r>
            <w:r>
              <w:rPr>
                <w:rFonts w:hint="eastAsia" w:ascii="宋体" w:hAnsi="宋体"/>
                <w:b w:val="0"/>
                <w:bCs/>
                <w:spacing w:val="-3"/>
                <w:sz w:val="21"/>
                <w:highlight w:val="none"/>
              </w:rPr>
              <w:t>详</w:t>
            </w:r>
            <w:r>
              <w:rPr>
                <w:rFonts w:hint="eastAsia" w:ascii="宋体" w:hAnsi="宋体"/>
                <w:b w:val="0"/>
                <w:bCs/>
                <w:spacing w:val="-10"/>
                <w:sz w:val="21"/>
                <w:highlight w:val="none"/>
              </w:rPr>
              <w:t>见</w:t>
            </w:r>
            <w:r>
              <w:rPr>
                <w:rFonts w:hint="eastAsia" w:ascii="宋体" w:hAnsi="宋体"/>
                <w:b w:val="0"/>
                <w:bCs/>
                <w:sz w:val="21"/>
                <w:highlight w:val="none"/>
              </w:rPr>
              <w:t>《</w:t>
            </w:r>
            <w:r>
              <w:rPr>
                <w:rFonts w:hint="eastAsia" w:ascii="宋体" w:hAnsi="宋体"/>
                <w:b w:val="0"/>
                <w:bCs/>
                <w:spacing w:val="-3"/>
                <w:sz w:val="21"/>
                <w:highlight w:val="none"/>
              </w:rPr>
              <w:t>建</w:t>
            </w:r>
            <w:r>
              <w:rPr>
                <w:rFonts w:hint="eastAsia" w:ascii="宋体" w:hAnsi="宋体"/>
                <w:b w:val="0"/>
                <w:bCs/>
                <w:sz w:val="21"/>
                <w:highlight w:val="none"/>
              </w:rPr>
              <w:t>设工程</w:t>
            </w:r>
            <w:r>
              <w:rPr>
                <w:rFonts w:hint="eastAsia" w:ascii="宋体" w:hAnsi="宋体"/>
                <w:b w:val="0"/>
                <w:bCs/>
                <w:spacing w:val="-3"/>
                <w:sz w:val="21"/>
                <w:highlight w:val="none"/>
              </w:rPr>
              <w:t>网</w:t>
            </w:r>
            <w:r>
              <w:rPr>
                <w:rFonts w:hint="eastAsia" w:ascii="宋体" w:hAnsi="宋体"/>
                <w:b w:val="0"/>
                <w:bCs/>
                <w:sz w:val="21"/>
                <w:highlight w:val="none"/>
              </w:rPr>
              <w:t>上</w:t>
            </w:r>
            <w:r>
              <w:rPr>
                <w:rFonts w:hint="eastAsia" w:ascii="宋体" w:hAnsi="宋体"/>
                <w:b w:val="0"/>
                <w:bCs/>
                <w:spacing w:val="-3"/>
                <w:sz w:val="21"/>
                <w:highlight w:val="none"/>
              </w:rPr>
              <w:t>交</w:t>
            </w:r>
            <w:r>
              <w:rPr>
                <w:rFonts w:hint="eastAsia" w:ascii="宋体" w:hAnsi="宋体"/>
                <w:b w:val="0"/>
                <w:bCs/>
                <w:sz w:val="21"/>
                <w:highlight w:val="none"/>
              </w:rPr>
              <w:t>易</w:t>
            </w:r>
            <w:r>
              <w:rPr>
                <w:rFonts w:hint="eastAsia" w:ascii="宋体" w:hAnsi="宋体"/>
                <w:b w:val="0"/>
                <w:bCs/>
                <w:spacing w:val="-3"/>
                <w:sz w:val="21"/>
                <w:highlight w:val="none"/>
              </w:rPr>
              <w:t>系</w:t>
            </w:r>
            <w:r>
              <w:rPr>
                <w:rFonts w:hint="eastAsia" w:ascii="宋体" w:hAnsi="宋体"/>
                <w:b w:val="0"/>
                <w:bCs/>
                <w:sz w:val="21"/>
                <w:highlight w:val="none"/>
              </w:rPr>
              <w:t>统</w:t>
            </w:r>
            <w:r>
              <w:rPr>
                <w:rFonts w:hint="eastAsia" w:ascii="宋体" w:hAnsi="宋体"/>
                <w:b w:val="0"/>
                <w:bCs/>
                <w:spacing w:val="-3"/>
                <w:sz w:val="21"/>
                <w:highlight w:val="none"/>
              </w:rPr>
              <w:t>使</w:t>
            </w:r>
            <w:r>
              <w:rPr>
                <w:rFonts w:hint="eastAsia" w:ascii="宋体" w:hAnsi="宋体"/>
                <w:b w:val="0"/>
                <w:bCs/>
                <w:sz w:val="21"/>
                <w:highlight w:val="none"/>
              </w:rPr>
              <w:t>用</w:t>
            </w:r>
            <w:r>
              <w:rPr>
                <w:rFonts w:hint="eastAsia" w:ascii="宋体" w:hAnsi="宋体"/>
                <w:b w:val="0"/>
                <w:bCs/>
                <w:spacing w:val="-3"/>
                <w:sz w:val="21"/>
                <w:highlight w:val="none"/>
              </w:rPr>
              <w:t>指</w:t>
            </w:r>
            <w:r>
              <w:rPr>
                <w:rFonts w:hint="eastAsia" w:ascii="宋体" w:hAnsi="宋体"/>
                <w:b w:val="0"/>
                <w:bCs/>
                <w:sz w:val="21"/>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lang w:eastAsia="zh-CN"/>
              </w:rPr>
              <w:t>开标</w:t>
            </w:r>
            <w:r>
              <w:rPr>
                <w:rFonts w:hint="eastAsia" w:ascii="Times New Roman" w:hAnsi="Times New Roman" w:eastAsia="宋体" w:cs="Courier New"/>
                <w:b w:val="0"/>
                <w:bCs/>
                <w:kern w:val="0"/>
                <w:szCs w:val="21"/>
                <w:highlight w:val="none"/>
              </w:rPr>
              <w:t>时间</w:t>
            </w:r>
            <w:r>
              <w:rPr>
                <w:rFonts w:hint="eastAsia" w:ascii="Times New Roman" w:hAnsi="Times New Roman" w:eastAsia="宋体" w:cs="Courier New"/>
                <w:b w:val="0"/>
                <w:bCs/>
                <w:kern w:val="0"/>
                <w:szCs w:val="21"/>
                <w:highlight w:val="none"/>
                <w:lang w:eastAsia="zh-CN"/>
              </w:rPr>
              <w:t>及地点</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both"/>
              <w:textAlignment w:val="auto"/>
              <w:rPr>
                <w:rFonts w:hint="eastAsia" w:ascii="宋体" w:hAnsi="宋体"/>
                <w:b w:val="0"/>
                <w:bCs/>
                <w:sz w:val="21"/>
                <w:highlight w:val="none"/>
              </w:rPr>
            </w:pPr>
            <w:r>
              <w:rPr>
                <w:rFonts w:hint="eastAsia" w:ascii="宋体" w:hAnsi="宋体"/>
                <w:b w:val="0"/>
                <w:bCs/>
                <w:sz w:val="21"/>
                <w:highlight w:val="none"/>
                <w:lang w:eastAsia="zh-CN"/>
              </w:rPr>
              <w:t>年月日</w:t>
            </w:r>
            <w:r>
              <w:rPr>
                <w:rFonts w:hint="eastAsia" w:ascii="宋体" w:hAnsi="宋体"/>
                <w:b w:val="0"/>
                <w:bCs/>
                <w:sz w:val="21"/>
                <w:highlight w:val="none"/>
                <w:lang w:val="en-US" w:eastAsia="zh-CN"/>
              </w:rPr>
              <w:t xml:space="preserve"> 潮州市公共资源交易中心   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218" w:leftChars="104" w:right="300" w:rightChars="0" w:firstLine="0" w:firstLineChars="0"/>
              <w:jc w:val="both"/>
              <w:textAlignment w:val="auto"/>
              <w:rPr>
                <w:rFonts w:ascii="宋体" w:hAnsi="宋体"/>
                <w:b w:val="0"/>
                <w:bCs/>
                <w:kern w:val="0"/>
                <w:szCs w:val="21"/>
                <w:highlight w:val="none"/>
              </w:rPr>
            </w:pPr>
            <w:r>
              <w:rPr>
                <w:rFonts w:hint="eastAsia" w:ascii="宋体" w:hAnsi="宋体"/>
                <w:b w:val="0"/>
                <w:bCs/>
                <w:sz w:val="21"/>
                <w:highlight w:val="none"/>
              </w:rPr>
              <w:t>构成</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文</w:t>
            </w:r>
            <w:r>
              <w:rPr>
                <w:rFonts w:hint="eastAsia" w:ascii="宋体" w:hAnsi="宋体"/>
                <w:b w:val="0"/>
                <w:bCs/>
                <w:sz w:val="21"/>
                <w:highlight w:val="none"/>
              </w:rPr>
              <w:t>件的其</w:t>
            </w:r>
            <w:r>
              <w:rPr>
                <w:rFonts w:hint="eastAsia" w:ascii="宋体" w:hAnsi="宋体"/>
                <w:b w:val="0"/>
                <w:bCs/>
                <w:spacing w:val="-3"/>
                <w:sz w:val="21"/>
                <w:highlight w:val="none"/>
              </w:rPr>
              <w:t>他</w:t>
            </w:r>
            <w:r>
              <w:rPr>
                <w:rFonts w:hint="eastAsia" w:ascii="宋体" w:hAnsi="宋体"/>
                <w:b w:val="0"/>
                <w:bCs/>
                <w:sz w:val="21"/>
                <w:highlight w:val="none"/>
              </w:rPr>
              <w:t>资料</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both"/>
              <w:textAlignment w:val="auto"/>
              <w:rPr>
                <w:rFonts w:ascii="宋体" w:hAnsi="宋体"/>
                <w:b w:val="0"/>
                <w:bCs/>
                <w:kern w:val="0"/>
                <w:szCs w:val="21"/>
                <w:highlight w:val="none"/>
              </w:rPr>
            </w:pPr>
            <w:r>
              <w:rPr>
                <w:rFonts w:hint="eastAsia" w:ascii="宋体" w:hAnsi="宋体"/>
                <w:b w:val="0"/>
                <w:bCs/>
                <w:sz w:val="21"/>
                <w:highlight w:val="none"/>
              </w:rPr>
              <w:t>发布在潮州市公共资源交易网上与本项目有关的答疑书、澄清书等。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5" w:line="480" w:lineRule="exact"/>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要求</w:t>
            </w:r>
          </w:p>
          <w:p>
            <w:pPr>
              <w:pStyle w:val="230"/>
              <w:keepNext w:val="0"/>
              <w:keepLines w:val="0"/>
              <w:pageBreakBefore w:val="0"/>
              <w:kinsoku w:val="0"/>
              <w:wordWrap/>
              <w:overflowPunct w:val="0"/>
              <w:topLinePunct w:val="0"/>
              <w:autoSpaceDE/>
              <w:autoSpaceDN/>
              <w:bidi w:val="0"/>
              <w:adjustRightInd w:val="0"/>
              <w:snapToGrid w:val="0"/>
              <w:spacing w:before="15" w:line="480" w:lineRule="exact"/>
              <w:jc w:val="both"/>
              <w:textAlignment w:val="auto"/>
              <w:rPr>
                <w:rFonts w:ascii="宋体" w:hAnsi="宋体"/>
                <w:b w:val="0"/>
                <w:bCs/>
                <w:kern w:val="0"/>
                <w:szCs w:val="21"/>
                <w:highlight w:val="none"/>
              </w:rPr>
            </w:pPr>
            <w:r>
              <w:rPr>
                <w:rFonts w:hint="eastAsia" w:ascii="宋体" w:hAnsi="宋体"/>
                <w:b w:val="0"/>
                <w:bCs/>
                <w:sz w:val="21"/>
                <w:highlight w:val="none"/>
              </w:rPr>
              <w:t>澄清</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文</w:t>
            </w:r>
            <w:r>
              <w:rPr>
                <w:rFonts w:hint="eastAsia" w:ascii="宋体" w:hAnsi="宋体"/>
                <w:b w:val="0"/>
                <w:bCs/>
                <w:sz w:val="21"/>
                <w:highlight w:val="none"/>
              </w:rPr>
              <w:t>件</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5" w:line="480" w:lineRule="exact"/>
              <w:ind w:left="66" w:leftChars="0" w:right="92" w:rightChars="0" w:firstLine="424" w:firstLineChars="0"/>
              <w:jc w:val="both"/>
              <w:textAlignment w:val="auto"/>
              <w:rPr>
                <w:rFonts w:ascii="宋体" w:hAnsi="宋体"/>
                <w:b w:val="0"/>
                <w:bCs/>
                <w:kern w:val="0"/>
                <w:szCs w:val="21"/>
                <w:highlight w:val="none"/>
              </w:rPr>
            </w:pPr>
            <w:r>
              <w:rPr>
                <w:rFonts w:hint="eastAsia" w:ascii="宋体" w:hAnsi="宋体"/>
                <w:b w:val="0"/>
                <w:bCs/>
                <w:sz w:val="21"/>
                <w:highlight w:val="none"/>
              </w:rPr>
              <w:t>年 月日10：00前投</w:t>
            </w:r>
            <w:r>
              <w:rPr>
                <w:rFonts w:hint="eastAsia" w:ascii="宋体" w:hAnsi="宋体"/>
                <w:b w:val="0"/>
                <w:bCs/>
                <w:spacing w:val="-3"/>
                <w:sz w:val="21"/>
                <w:highlight w:val="none"/>
              </w:rPr>
              <w:t>标</w:t>
            </w:r>
            <w:r>
              <w:rPr>
                <w:rFonts w:hint="eastAsia" w:ascii="宋体" w:hAnsi="宋体"/>
                <w:b w:val="0"/>
                <w:bCs/>
                <w:sz w:val="21"/>
                <w:highlight w:val="none"/>
              </w:rPr>
              <w:t>人</w:t>
            </w:r>
            <w:r>
              <w:rPr>
                <w:rFonts w:hint="eastAsia" w:ascii="宋体" w:hAnsi="宋体"/>
                <w:b w:val="0"/>
                <w:bCs/>
                <w:spacing w:val="-3"/>
                <w:sz w:val="21"/>
                <w:highlight w:val="none"/>
              </w:rPr>
              <w:t>可</w:t>
            </w:r>
            <w:r>
              <w:rPr>
                <w:rFonts w:hint="eastAsia" w:ascii="宋体" w:hAnsi="宋体"/>
                <w:b w:val="0"/>
                <w:bCs/>
                <w:sz w:val="21"/>
                <w:highlight w:val="none"/>
              </w:rPr>
              <w:t>登</w:t>
            </w:r>
            <w:r>
              <w:rPr>
                <w:rFonts w:hint="eastAsia" w:ascii="宋体" w:hAnsi="宋体"/>
                <w:b w:val="0"/>
                <w:bCs/>
                <w:spacing w:val="-3"/>
                <w:sz w:val="21"/>
                <w:highlight w:val="none"/>
              </w:rPr>
              <w:t>陆</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共资</w:t>
            </w:r>
            <w:r>
              <w:rPr>
                <w:rFonts w:hint="eastAsia" w:ascii="宋体" w:hAnsi="宋体"/>
                <w:b w:val="0"/>
                <w:bCs/>
                <w:spacing w:val="-3"/>
                <w:sz w:val="21"/>
                <w:highlight w:val="none"/>
              </w:rPr>
              <w:t>源</w:t>
            </w:r>
            <w:r>
              <w:rPr>
                <w:rFonts w:hint="eastAsia" w:ascii="宋体" w:hAnsi="宋体"/>
                <w:b w:val="0"/>
                <w:bCs/>
                <w:sz w:val="21"/>
                <w:highlight w:val="none"/>
              </w:rPr>
              <w:t>交</w:t>
            </w:r>
            <w:r>
              <w:rPr>
                <w:rFonts w:hint="eastAsia" w:ascii="宋体" w:hAnsi="宋体"/>
                <w:b w:val="0"/>
                <w:bCs/>
                <w:spacing w:val="-3"/>
                <w:sz w:val="21"/>
                <w:highlight w:val="none"/>
              </w:rPr>
              <w:t>易</w:t>
            </w:r>
            <w:r>
              <w:rPr>
                <w:rFonts w:hint="eastAsia" w:ascii="宋体" w:hAnsi="宋体"/>
                <w:b w:val="0"/>
                <w:bCs/>
                <w:sz w:val="21"/>
                <w:highlight w:val="none"/>
              </w:rPr>
              <w:t>中心网上</w:t>
            </w:r>
            <w:r>
              <w:rPr>
                <w:rFonts w:hint="eastAsia" w:ascii="宋体" w:hAnsi="宋体"/>
                <w:b w:val="0"/>
                <w:bCs/>
                <w:spacing w:val="-3"/>
                <w:sz w:val="21"/>
                <w:highlight w:val="none"/>
              </w:rPr>
              <w:t>交</w:t>
            </w:r>
            <w:r>
              <w:rPr>
                <w:rFonts w:hint="eastAsia" w:ascii="宋体" w:hAnsi="宋体"/>
                <w:b w:val="0"/>
                <w:bCs/>
                <w:sz w:val="21"/>
                <w:highlight w:val="none"/>
              </w:rPr>
              <w:t>易</w:t>
            </w:r>
            <w:r>
              <w:rPr>
                <w:rFonts w:hint="eastAsia" w:ascii="宋体" w:hAnsi="宋体"/>
                <w:b w:val="0"/>
                <w:bCs/>
                <w:spacing w:val="-3"/>
                <w:sz w:val="21"/>
                <w:highlight w:val="none"/>
              </w:rPr>
              <w:t>系</w:t>
            </w:r>
            <w:r>
              <w:rPr>
                <w:rFonts w:hint="eastAsia" w:ascii="宋体" w:hAnsi="宋体"/>
                <w:b w:val="0"/>
                <w:bCs/>
                <w:sz w:val="21"/>
                <w:highlight w:val="none"/>
              </w:rPr>
              <w:t>统</w:t>
            </w:r>
            <w:r>
              <w:rPr>
                <w:rFonts w:hint="eastAsia" w:ascii="宋体" w:hAnsi="宋体"/>
                <w:b w:val="0"/>
                <w:bCs/>
                <w:spacing w:val="-3"/>
                <w:sz w:val="21"/>
                <w:highlight w:val="none"/>
              </w:rPr>
              <w:t>，</w:t>
            </w:r>
            <w:r>
              <w:rPr>
                <w:rFonts w:hint="eastAsia" w:ascii="宋体" w:hAnsi="宋体"/>
                <w:b w:val="0"/>
                <w:bCs/>
                <w:sz w:val="21"/>
                <w:highlight w:val="none"/>
              </w:rPr>
              <w:t>按</w:t>
            </w:r>
            <w:r>
              <w:rPr>
                <w:rFonts w:hint="eastAsia" w:ascii="宋体" w:hAnsi="宋体"/>
                <w:b w:val="0"/>
                <w:bCs/>
                <w:spacing w:val="-3"/>
                <w:sz w:val="21"/>
                <w:highlight w:val="none"/>
              </w:rPr>
              <w:t>照</w:t>
            </w:r>
            <w:r>
              <w:rPr>
                <w:rFonts w:hint="eastAsia" w:ascii="宋体" w:hAnsi="宋体"/>
                <w:b w:val="0"/>
                <w:bCs/>
                <w:sz w:val="21"/>
                <w:highlight w:val="none"/>
              </w:rPr>
              <w:t>系</w:t>
            </w:r>
            <w:r>
              <w:rPr>
                <w:rFonts w:hint="eastAsia" w:ascii="宋体" w:hAnsi="宋体"/>
                <w:b w:val="0"/>
                <w:bCs/>
                <w:spacing w:val="-3"/>
                <w:sz w:val="21"/>
                <w:highlight w:val="none"/>
              </w:rPr>
              <w:t>统</w:t>
            </w:r>
            <w:r>
              <w:rPr>
                <w:rFonts w:hint="eastAsia" w:ascii="宋体" w:hAnsi="宋体"/>
                <w:b w:val="0"/>
                <w:bCs/>
                <w:sz w:val="21"/>
                <w:highlight w:val="none"/>
              </w:rPr>
              <w:t>提示</w:t>
            </w:r>
            <w:r>
              <w:rPr>
                <w:rFonts w:hint="eastAsia" w:ascii="宋体" w:hAnsi="宋体"/>
                <w:b w:val="0"/>
                <w:bCs/>
                <w:spacing w:val="-3"/>
                <w:sz w:val="21"/>
                <w:highlight w:val="none"/>
              </w:rPr>
              <w:t>进</w:t>
            </w:r>
            <w:r>
              <w:rPr>
                <w:rFonts w:hint="eastAsia" w:ascii="宋体" w:hAnsi="宋体"/>
                <w:b w:val="0"/>
                <w:bCs/>
                <w:sz w:val="21"/>
                <w:highlight w:val="none"/>
              </w:rPr>
              <w:t>入</w:t>
            </w:r>
            <w:r>
              <w:rPr>
                <w:rFonts w:hint="eastAsia" w:ascii="宋体" w:hAnsi="宋体"/>
                <w:b w:val="0"/>
                <w:bCs/>
                <w:spacing w:val="-3"/>
                <w:sz w:val="21"/>
                <w:highlight w:val="none"/>
              </w:rPr>
              <w:t>项</w:t>
            </w:r>
            <w:r>
              <w:rPr>
                <w:rFonts w:hint="eastAsia" w:ascii="宋体" w:hAnsi="宋体"/>
                <w:b w:val="0"/>
                <w:bCs/>
                <w:sz w:val="21"/>
                <w:highlight w:val="none"/>
              </w:rPr>
              <w:t>目</w:t>
            </w:r>
            <w:r>
              <w:rPr>
                <w:rFonts w:hint="eastAsia" w:ascii="宋体" w:hAnsi="宋体"/>
                <w:b w:val="0"/>
                <w:bCs/>
                <w:spacing w:val="-3"/>
                <w:sz w:val="21"/>
                <w:highlight w:val="none"/>
              </w:rPr>
              <w:t>提</w:t>
            </w:r>
            <w:r>
              <w:rPr>
                <w:rFonts w:hint="eastAsia" w:ascii="宋体" w:hAnsi="宋体"/>
                <w:b w:val="0"/>
                <w:bCs/>
                <w:sz w:val="21"/>
                <w:highlight w:val="none"/>
              </w:rPr>
              <w:t>疑</w:t>
            </w:r>
            <w:r>
              <w:rPr>
                <w:rFonts w:hint="eastAsia" w:ascii="宋体" w:hAnsi="宋体"/>
                <w:b w:val="0"/>
                <w:bCs/>
                <w:spacing w:val="-3"/>
                <w:sz w:val="21"/>
                <w:highlight w:val="none"/>
              </w:rPr>
              <w:t>界</w:t>
            </w:r>
            <w:r>
              <w:rPr>
                <w:rFonts w:hint="eastAsia" w:ascii="宋体" w:hAnsi="宋体"/>
                <w:b w:val="0"/>
                <w:bCs/>
                <w:sz w:val="21"/>
                <w:highlight w:val="none"/>
              </w:rPr>
              <w:t>面</w:t>
            </w:r>
            <w:r>
              <w:rPr>
                <w:rFonts w:hint="eastAsia" w:ascii="宋体" w:hAnsi="宋体"/>
                <w:b w:val="0"/>
                <w:bCs/>
                <w:spacing w:val="-3"/>
                <w:sz w:val="21"/>
                <w:highlight w:val="none"/>
              </w:rPr>
              <w:t>匿</w:t>
            </w:r>
            <w:r>
              <w:rPr>
                <w:rFonts w:hint="eastAsia" w:ascii="宋体" w:hAnsi="宋体"/>
                <w:b w:val="0"/>
                <w:bCs/>
                <w:sz w:val="21"/>
                <w:highlight w:val="none"/>
              </w:rPr>
              <w:t>名提</w:t>
            </w:r>
            <w:r>
              <w:rPr>
                <w:rFonts w:hint="eastAsia" w:ascii="宋体" w:hAnsi="宋体"/>
                <w:b w:val="0"/>
                <w:bCs/>
                <w:spacing w:val="-3"/>
                <w:sz w:val="21"/>
                <w:highlight w:val="none"/>
              </w:rPr>
              <w:t>交</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4" w:line="480" w:lineRule="exact"/>
              <w:jc w:val="both"/>
              <w:textAlignment w:val="auto"/>
              <w:rPr>
                <w:b w:val="0"/>
                <w:bCs/>
                <w:sz w:val="13"/>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澄</w:t>
            </w:r>
            <w:r>
              <w:rPr>
                <w:rFonts w:hint="eastAsia" w:ascii="宋体" w:hAnsi="宋体"/>
                <w:b w:val="0"/>
                <w:bCs/>
                <w:sz w:val="21"/>
                <w:highlight w:val="none"/>
              </w:rPr>
              <w:t>清</w:t>
            </w: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发出</w:t>
            </w:r>
            <w:r>
              <w:rPr>
                <w:rFonts w:hint="eastAsia" w:ascii="宋体" w:hAnsi="宋体"/>
                <w:b w:val="0"/>
                <w:bCs/>
                <w:spacing w:val="-3"/>
                <w:sz w:val="21"/>
                <w:highlight w:val="none"/>
              </w:rPr>
              <w:t>的</w:t>
            </w:r>
            <w:r>
              <w:rPr>
                <w:rFonts w:hint="eastAsia" w:ascii="宋体" w:hAnsi="宋体"/>
                <w:b w:val="0"/>
                <w:bCs/>
                <w:sz w:val="21"/>
                <w:highlight w:val="none"/>
              </w:rPr>
              <w:t>形式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ind w:left="66" w:leftChars="0" w:right="94" w:rightChars="0" w:firstLine="424" w:firstLineChars="0"/>
              <w:jc w:val="both"/>
              <w:textAlignment w:val="auto"/>
              <w:rPr>
                <w:rFonts w:ascii="宋体" w:hAnsi="宋体"/>
                <w:b w:val="0"/>
                <w:bCs/>
                <w:kern w:val="0"/>
                <w:szCs w:val="21"/>
                <w:highlight w:val="none"/>
              </w:rPr>
            </w:pPr>
            <w:r>
              <w:rPr>
                <w:rFonts w:hint="eastAsia" w:ascii="宋体" w:hAnsi="宋体"/>
                <w:b w:val="0"/>
                <w:bCs/>
                <w:sz w:val="21"/>
                <w:highlight w:val="none"/>
              </w:rPr>
              <w:t>如有</w:t>
            </w:r>
            <w:r>
              <w:rPr>
                <w:rFonts w:hint="eastAsia" w:ascii="宋体" w:hAnsi="宋体"/>
                <w:b w:val="0"/>
                <w:bCs/>
                <w:spacing w:val="-3"/>
                <w:sz w:val="21"/>
                <w:highlight w:val="none"/>
              </w:rPr>
              <w:t>澄</w:t>
            </w:r>
            <w:r>
              <w:rPr>
                <w:rFonts w:hint="eastAsia" w:ascii="宋体" w:hAnsi="宋体"/>
                <w:b w:val="0"/>
                <w:bCs/>
                <w:spacing w:val="-1"/>
                <w:sz w:val="21"/>
                <w:highlight w:val="none"/>
              </w:rPr>
              <w:t>清</w:t>
            </w:r>
            <w:r>
              <w:rPr>
                <w:rFonts w:hint="eastAsia" w:ascii="宋体" w:hAnsi="宋体"/>
                <w:b w:val="0"/>
                <w:bCs/>
                <w:spacing w:val="-56"/>
                <w:sz w:val="21"/>
                <w:highlight w:val="none"/>
              </w:rPr>
              <w:t>，</w:t>
            </w:r>
            <w:r>
              <w:rPr>
                <w:rFonts w:hint="eastAsia" w:ascii="宋体" w:hAnsi="宋体"/>
                <w:b w:val="0"/>
                <w:bCs/>
                <w:sz w:val="21"/>
                <w:highlight w:val="none"/>
              </w:rPr>
              <w:t>招</w:t>
            </w:r>
            <w:r>
              <w:rPr>
                <w:rFonts w:hint="eastAsia" w:ascii="宋体" w:hAnsi="宋体"/>
                <w:b w:val="0"/>
                <w:bCs/>
                <w:spacing w:val="-3"/>
                <w:sz w:val="21"/>
                <w:highlight w:val="none"/>
              </w:rPr>
              <w:t>标</w:t>
            </w:r>
            <w:r>
              <w:rPr>
                <w:rFonts w:hint="eastAsia" w:ascii="宋体" w:hAnsi="宋体"/>
                <w:b w:val="0"/>
                <w:bCs/>
                <w:sz w:val="21"/>
                <w:highlight w:val="none"/>
              </w:rPr>
              <w:t>人</w:t>
            </w:r>
            <w:r>
              <w:rPr>
                <w:rFonts w:hint="eastAsia" w:ascii="宋体" w:hAnsi="宋体"/>
                <w:b w:val="0"/>
                <w:bCs/>
                <w:spacing w:val="-3"/>
                <w:sz w:val="21"/>
                <w:highlight w:val="none"/>
              </w:rPr>
              <w:t>于</w:t>
            </w:r>
            <w:r>
              <w:rPr>
                <w:rFonts w:hint="eastAsia" w:ascii="宋体" w:hAnsi="宋体"/>
                <w:b w:val="0"/>
                <w:bCs/>
                <w:sz w:val="21"/>
                <w:highlight w:val="none"/>
              </w:rPr>
              <w:t>投</w:t>
            </w:r>
            <w:r>
              <w:rPr>
                <w:rFonts w:hint="eastAsia" w:ascii="宋体" w:hAnsi="宋体"/>
                <w:b w:val="0"/>
                <w:bCs/>
                <w:spacing w:val="-3"/>
                <w:sz w:val="21"/>
                <w:highlight w:val="none"/>
              </w:rPr>
              <w:t>标</w:t>
            </w:r>
            <w:r>
              <w:rPr>
                <w:rFonts w:hint="eastAsia" w:ascii="宋体" w:hAnsi="宋体"/>
                <w:b w:val="0"/>
                <w:bCs/>
                <w:sz w:val="21"/>
                <w:highlight w:val="none"/>
              </w:rPr>
              <w:t>截止</w:t>
            </w:r>
            <w:r>
              <w:rPr>
                <w:rFonts w:hint="eastAsia" w:ascii="宋体" w:hAnsi="宋体"/>
                <w:b w:val="0"/>
                <w:bCs/>
                <w:spacing w:val="-3"/>
                <w:sz w:val="21"/>
                <w:highlight w:val="none"/>
              </w:rPr>
              <w:t>时</w:t>
            </w:r>
            <w:r>
              <w:rPr>
                <w:rFonts w:hint="eastAsia" w:ascii="宋体" w:hAnsi="宋体"/>
                <w:b w:val="0"/>
                <w:bCs/>
                <w:sz w:val="21"/>
                <w:highlight w:val="none"/>
              </w:rPr>
              <w:t>间</w:t>
            </w:r>
            <w:r>
              <w:rPr>
                <w:rFonts w:hint="eastAsia" w:ascii="宋体" w:hAnsi="宋体"/>
                <w:b w:val="0"/>
                <w:bCs/>
                <w:spacing w:val="-3"/>
                <w:sz w:val="21"/>
                <w:highlight w:val="none"/>
              </w:rPr>
              <w:t>1</w:t>
            </w:r>
            <w:r>
              <w:rPr>
                <w:rFonts w:hint="eastAsia" w:ascii="宋体" w:hAnsi="宋体"/>
                <w:b w:val="0"/>
                <w:bCs/>
                <w:sz w:val="21"/>
                <w:highlight w:val="none"/>
              </w:rPr>
              <w:t>5</w:t>
            </w:r>
            <w:r>
              <w:rPr>
                <w:rFonts w:hint="eastAsia" w:ascii="宋体" w:hAnsi="宋体"/>
                <w:b w:val="0"/>
                <w:bCs/>
                <w:spacing w:val="-3"/>
                <w:sz w:val="21"/>
                <w:highlight w:val="none"/>
              </w:rPr>
              <w:t>天</w:t>
            </w:r>
            <w:r>
              <w:rPr>
                <w:rFonts w:hint="eastAsia" w:ascii="宋体" w:hAnsi="宋体"/>
                <w:b w:val="0"/>
                <w:bCs/>
                <w:sz w:val="21"/>
                <w:highlight w:val="none"/>
              </w:rPr>
              <w:t>前</w:t>
            </w:r>
            <w:r>
              <w:rPr>
                <w:rFonts w:hint="eastAsia" w:ascii="宋体" w:hAnsi="宋体"/>
                <w:b w:val="0"/>
                <w:bCs/>
                <w:spacing w:val="-56"/>
                <w:sz w:val="21"/>
                <w:highlight w:val="none"/>
              </w:rPr>
              <w:t>，</w:t>
            </w:r>
            <w:r>
              <w:rPr>
                <w:rFonts w:hint="eastAsia" w:ascii="宋体" w:hAnsi="宋体"/>
                <w:b w:val="0"/>
                <w:bCs/>
                <w:sz w:val="21"/>
                <w:highlight w:val="none"/>
              </w:rPr>
              <w:t>将</w:t>
            </w:r>
            <w:r>
              <w:rPr>
                <w:rFonts w:hint="eastAsia" w:ascii="宋体" w:hAnsi="宋体"/>
                <w:b w:val="0"/>
                <w:bCs/>
                <w:spacing w:val="-3"/>
                <w:sz w:val="21"/>
                <w:highlight w:val="none"/>
              </w:rPr>
              <w:t>澄清</w:t>
            </w:r>
            <w:r>
              <w:rPr>
                <w:rFonts w:hint="eastAsia" w:ascii="宋体" w:hAnsi="宋体"/>
                <w:b w:val="0"/>
                <w:bCs/>
                <w:sz w:val="21"/>
                <w:highlight w:val="none"/>
              </w:rPr>
              <w:t>内容</w:t>
            </w:r>
            <w:r>
              <w:rPr>
                <w:rFonts w:hint="eastAsia" w:ascii="宋体" w:hAnsi="宋体"/>
                <w:b w:val="0"/>
                <w:bCs/>
                <w:spacing w:val="-3"/>
                <w:sz w:val="21"/>
                <w:highlight w:val="none"/>
              </w:rPr>
              <w:t>发</w:t>
            </w:r>
            <w:r>
              <w:rPr>
                <w:rFonts w:hint="eastAsia" w:ascii="宋体" w:hAnsi="宋体"/>
                <w:b w:val="0"/>
                <w:bCs/>
                <w:sz w:val="21"/>
                <w:highlight w:val="none"/>
              </w:rPr>
              <w:t>布</w:t>
            </w:r>
            <w:r>
              <w:rPr>
                <w:rFonts w:hint="eastAsia" w:ascii="宋体" w:hAnsi="宋体"/>
                <w:b w:val="0"/>
                <w:bCs/>
                <w:spacing w:val="-3"/>
                <w:sz w:val="21"/>
                <w:highlight w:val="none"/>
              </w:rPr>
              <w:t>在</w:t>
            </w:r>
            <w:r>
              <w:rPr>
                <w:rFonts w:hint="eastAsia" w:ascii="宋体" w:hAnsi="宋体"/>
                <w:b w:val="0"/>
                <w:bCs/>
                <w:sz w:val="21"/>
                <w:highlight w:val="none"/>
              </w:rPr>
              <w:t>潮州市公</w:t>
            </w:r>
            <w:r>
              <w:rPr>
                <w:rFonts w:hint="eastAsia" w:ascii="宋体" w:hAnsi="宋体"/>
                <w:b w:val="0"/>
                <w:bCs/>
                <w:spacing w:val="-3"/>
                <w:sz w:val="21"/>
                <w:highlight w:val="none"/>
              </w:rPr>
              <w:t>共</w:t>
            </w:r>
            <w:r>
              <w:rPr>
                <w:rFonts w:hint="eastAsia" w:ascii="宋体" w:hAnsi="宋体"/>
                <w:b w:val="0"/>
                <w:bCs/>
                <w:sz w:val="21"/>
                <w:highlight w:val="none"/>
              </w:rPr>
              <w:t>资</w:t>
            </w:r>
            <w:r>
              <w:rPr>
                <w:rFonts w:hint="eastAsia" w:ascii="宋体" w:hAnsi="宋体"/>
                <w:b w:val="0"/>
                <w:bCs/>
                <w:spacing w:val="-3"/>
                <w:sz w:val="21"/>
                <w:highlight w:val="none"/>
              </w:rPr>
              <w:t>源</w:t>
            </w:r>
            <w:r>
              <w:rPr>
                <w:rFonts w:hint="eastAsia" w:ascii="宋体" w:hAnsi="宋体"/>
                <w:b w:val="0"/>
                <w:bCs/>
                <w:sz w:val="21"/>
                <w:highlight w:val="none"/>
              </w:rPr>
              <w:t>交易</w:t>
            </w:r>
            <w:r>
              <w:rPr>
                <w:rFonts w:hint="eastAsia" w:ascii="宋体" w:hAnsi="宋体"/>
                <w:b w:val="0"/>
                <w:bCs/>
                <w:spacing w:val="-3"/>
                <w:sz w:val="21"/>
                <w:highlight w:val="none"/>
              </w:rPr>
              <w:t>网</w:t>
            </w:r>
            <w:r>
              <w:rPr>
                <w:rFonts w:hint="eastAsia" w:ascii="宋体" w:hAnsi="宋体"/>
                <w:b w:val="0"/>
                <w:bCs/>
                <w:spacing w:val="-3"/>
                <w:sz w:val="21"/>
                <w:highlight w:val="none"/>
              </w:rPr>
              <w:fldChar w:fldCharType="begin"/>
            </w:r>
            <w:r>
              <w:rPr>
                <w:rFonts w:hint="eastAsia" w:ascii="宋体" w:hAnsi="宋体"/>
                <w:b w:val="0"/>
                <w:bCs/>
                <w:spacing w:val="-3"/>
                <w:sz w:val="21"/>
                <w:highlight w:val="none"/>
              </w:rPr>
              <w:instrText xml:space="preserve"> HYPERLINK "http://www.czggzy.com/" </w:instrText>
            </w:r>
            <w:r>
              <w:rPr>
                <w:rFonts w:hint="eastAsia" w:ascii="宋体" w:hAnsi="宋体"/>
                <w:b w:val="0"/>
                <w:bCs/>
                <w:spacing w:val="-3"/>
                <w:sz w:val="21"/>
                <w:highlight w:val="none"/>
              </w:rPr>
              <w:fldChar w:fldCharType="separate"/>
            </w:r>
            <w:r>
              <w:rPr>
                <w:rFonts w:hint="eastAsia" w:ascii="宋体" w:hAnsi="宋体"/>
                <w:b w:val="0"/>
                <w:bCs/>
                <w:sz w:val="21"/>
                <w:highlight w:val="none"/>
              </w:rPr>
              <w:t>（w</w:t>
            </w:r>
            <w:r>
              <w:rPr>
                <w:rFonts w:hint="eastAsia" w:ascii="宋体" w:hAnsi="宋体"/>
                <w:b w:val="0"/>
                <w:bCs/>
                <w:spacing w:val="-3"/>
                <w:sz w:val="21"/>
                <w:highlight w:val="none"/>
              </w:rPr>
              <w:t>w</w:t>
            </w:r>
            <w:r>
              <w:rPr>
                <w:rFonts w:hint="eastAsia" w:ascii="宋体" w:hAnsi="宋体"/>
                <w:b w:val="0"/>
                <w:bCs/>
                <w:sz w:val="21"/>
                <w:highlight w:val="none"/>
              </w:rPr>
              <w:t>w.</w:t>
            </w:r>
            <w:r>
              <w:rPr>
                <w:rFonts w:hint="eastAsia" w:ascii="宋体" w:hAnsi="宋体"/>
                <w:b w:val="0"/>
                <w:bCs/>
                <w:spacing w:val="-3"/>
                <w:sz w:val="21"/>
                <w:highlight w:val="none"/>
              </w:rPr>
              <w:t>c</w:t>
            </w:r>
            <w:r>
              <w:rPr>
                <w:rFonts w:hint="eastAsia" w:ascii="宋体" w:hAnsi="宋体"/>
                <w:b w:val="0"/>
                <w:bCs/>
                <w:sz w:val="21"/>
                <w:highlight w:val="none"/>
              </w:rPr>
              <w:t>zggzy</w:t>
            </w:r>
            <w:r>
              <w:rPr>
                <w:rFonts w:hint="eastAsia" w:ascii="宋体" w:hAnsi="宋体"/>
                <w:b w:val="0"/>
                <w:bCs/>
                <w:spacing w:val="-3"/>
                <w:sz w:val="21"/>
                <w:highlight w:val="none"/>
              </w:rPr>
              <w:t>.</w:t>
            </w:r>
            <w:r>
              <w:rPr>
                <w:rFonts w:hint="eastAsia" w:ascii="宋体" w:hAnsi="宋体"/>
                <w:b w:val="0"/>
                <w:bCs/>
                <w:sz w:val="21"/>
                <w:highlight w:val="none"/>
              </w:rPr>
              <w:t>co</w:t>
            </w:r>
            <w:r>
              <w:rPr>
                <w:rFonts w:hint="eastAsia" w:ascii="宋体" w:hAnsi="宋体"/>
                <w:b w:val="0"/>
                <w:bCs/>
                <w:spacing w:val="-3"/>
                <w:sz w:val="21"/>
                <w:highlight w:val="none"/>
              </w:rPr>
              <w:t>m</w:t>
            </w:r>
            <w:r>
              <w:rPr>
                <w:rFonts w:hint="eastAsia" w:ascii="宋体" w:hAnsi="宋体"/>
                <w:b w:val="0"/>
                <w:bCs/>
                <w:spacing w:val="-3"/>
                <w:sz w:val="21"/>
                <w:highlight w:val="none"/>
              </w:rPr>
              <w:fldChar w:fldCharType="end"/>
            </w:r>
            <w:r>
              <w:rPr>
                <w:rFonts w:hint="eastAsia" w:ascii="宋体" w:hAnsi="宋体"/>
                <w:b w:val="0"/>
                <w:bCs/>
                <w:sz w:val="21"/>
                <w:highlight w:val="none"/>
              </w:rPr>
              <w:t>）。</w:t>
            </w:r>
            <w:r>
              <w:rPr>
                <w:rFonts w:hint="eastAsia" w:ascii="宋体" w:hAnsi="宋体"/>
                <w:b w:val="0"/>
                <w:bCs/>
                <w:spacing w:val="-3"/>
                <w:sz w:val="21"/>
                <w:highlight w:val="none"/>
              </w:rPr>
              <w:t>请</w:t>
            </w:r>
            <w:r>
              <w:rPr>
                <w:rFonts w:hint="eastAsia" w:ascii="宋体" w:hAnsi="宋体"/>
                <w:b w:val="0"/>
                <w:bCs/>
                <w:sz w:val="21"/>
                <w:highlight w:val="none"/>
              </w:rPr>
              <w:t>密</w:t>
            </w:r>
            <w:r>
              <w:rPr>
                <w:rFonts w:hint="eastAsia" w:ascii="宋体" w:hAnsi="宋体"/>
                <w:b w:val="0"/>
                <w:bCs/>
                <w:spacing w:val="-3"/>
                <w:sz w:val="21"/>
                <w:highlight w:val="none"/>
              </w:rPr>
              <w:t>切</w:t>
            </w:r>
            <w:r>
              <w:rPr>
                <w:rFonts w:hint="eastAsia" w:ascii="宋体" w:hAnsi="宋体"/>
                <w:b w:val="0"/>
                <w:bCs/>
                <w:sz w:val="21"/>
                <w:highlight w:val="none"/>
              </w:rPr>
              <w:t>留</w:t>
            </w:r>
            <w:r>
              <w:rPr>
                <w:rFonts w:hint="eastAsia" w:ascii="宋体" w:hAnsi="宋体"/>
                <w:b w:val="0"/>
                <w:bCs/>
                <w:spacing w:val="-3"/>
                <w:sz w:val="21"/>
                <w:highlight w:val="none"/>
              </w:rPr>
              <w:t>意</w:t>
            </w:r>
            <w:r>
              <w:rPr>
                <w:rFonts w:hint="eastAsia" w:ascii="宋体" w:hAnsi="宋体"/>
                <w:b w:val="0"/>
                <w:bCs/>
                <w:sz w:val="21"/>
                <w:highlight w:val="none"/>
              </w:rPr>
              <w:t>系统</w:t>
            </w:r>
            <w:r>
              <w:rPr>
                <w:rFonts w:hint="eastAsia" w:ascii="宋体" w:hAnsi="宋体"/>
                <w:b w:val="0"/>
                <w:bCs/>
                <w:spacing w:val="-3"/>
                <w:sz w:val="21"/>
                <w:highlight w:val="none"/>
              </w:rPr>
              <w:t>中</w:t>
            </w:r>
            <w:r>
              <w:rPr>
                <w:rFonts w:hint="eastAsia" w:ascii="宋体" w:hAnsi="宋体"/>
                <w:b w:val="0"/>
                <w:bCs/>
                <w:sz w:val="21"/>
                <w:highlight w:val="none"/>
              </w:rPr>
              <w:t>的</w:t>
            </w:r>
            <w:r>
              <w:rPr>
                <w:rFonts w:hint="eastAsia" w:ascii="宋体" w:hAnsi="宋体"/>
                <w:b w:val="0"/>
                <w:bCs/>
                <w:spacing w:val="-3"/>
                <w:sz w:val="21"/>
                <w:highlight w:val="none"/>
              </w:rPr>
              <w:t>公</w:t>
            </w:r>
            <w:r>
              <w:rPr>
                <w:rFonts w:hint="eastAsia" w:ascii="宋体" w:hAnsi="宋体"/>
                <w:b w:val="0"/>
                <w:bCs/>
                <w:spacing w:val="-1"/>
                <w:sz w:val="21"/>
                <w:highlight w:val="none"/>
              </w:rPr>
              <w:t>告</w:t>
            </w:r>
            <w:r>
              <w:rPr>
                <w:rFonts w:hint="eastAsia" w:ascii="宋体" w:hAnsi="宋体"/>
                <w:b w:val="0"/>
                <w:bCs/>
                <w:sz w:val="21"/>
                <w:highlight w:val="none"/>
              </w:rPr>
              <w:t>、项目答</w:t>
            </w:r>
            <w:r>
              <w:rPr>
                <w:rFonts w:hint="eastAsia" w:ascii="宋体" w:hAnsi="宋体"/>
                <w:b w:val="0"/>
                <w:bCs/>
                <w:spacing w:val="-3"/>
                <w:sz w:val="21"/>
                <w:highlight w:val="none"/>
              </w:rPr>
              <w:t>疑</w:t>
            </w:r>
            <w:r>
              <w:rPr>
                <w:rFonts w:hint="eastAsia" w:ascii="宋体" w:hAnsi="宋体"/>
                <w:b w:val="0"/>
                <w:bCs/>
                <w:sz w:val="21"/>
                <w:highlight w:val="none"/>
              </w:rPr>
              <w:t>等</w:t>
            </w:r>
            <w:r>
              <w:rPr>
                <w:rFonts w:hint="eastAsia" w:ascii="宋体" w:hAnsi="宋体"/>
                <w:b w:val="0"/>
                <w:bCs/>
                <w:spacing w:val="-3"/>
                <w:sz w:val="21"/>
                <w:highlight w:val="none"/>
              </w:rPr>
              <w:t>与</w:t>
            </w:r>
            <w:r>
              <w:rPr>
                <w:rFonts w:hint="eastAsia" w:ascii="宋体" w:hAnsi="宋体"/>
                <w:b w:val="0"/>
                <w:bCs/>
                <w:sz w:val="21"/>
                <w:highlight w:val="none"/>
              </w:rPr>
              <w:t>本</w:t>
            </w:r>
            <w:r>
              <w:rPr>
                <w:rFonts w:hint="eastAsia" w:ascii="宋体" w:hAnsi="宋体"/>
                <w:b w:val="0"/>
                <w:bCs/>
                <w:spacing w:val="-3"/>
                <w:sz w:val="21"/>
                <w:highlight w:val="none"/>
              </w:rPr>
              <w:t>工</w:t>
            </w:r>
            <w:r>
              <w:rPr>
                <w:rFonts w:hint="eastAsia" w:ascii="宋体" w:hAnsi="宋体"/>
                <w:b w:val="0"/>
                <w:bCs/>
                <w:sz w:val="21"/>
                <w:highlight w:val="none"/>
              </w:rPr>
              <w:t>程</w:t>
            </w:r>
            <w:r>
              <w:rPr>
                <w:rFonts w:hint="eastAsia" w:ascii="宋体" w:hAnsi="宋体"/>
                <w:b w:val="0"/>
                <w:bCs/>
                <w:spacing w:val="-3"/>
                <w:sz w:val="21"/>
                <w:highlight w:val="none"/>
              </w:rPr>
              <w:t>相</w:t>
            </w:r>
            <w:r>
              <w:rPr>
                <w:rFonts w:hint="eastAsia" w:ascii="宋体" w:hAnsi="宋体"/>
                <w:b w:val="0"/>
                <w:bCs/>
                <w:sz w:val="21"/>
                <w:highlight w:val="none"/>
              </w:rPr>
              <w:t>关</w:t>
            </w:r>
            <w:r>
              <w:rPr>
                <w:rFonts w:hint="eastAsia" w:ascii="宋体" w:hAnsi="宋体"/>
                <w:b w:val="0"/>
                <w:bCs/>
                <w:spacing w:val="-3"/>
                <w:sz w:val="21"/>
                <w:highlight w:val="none"/>
              </w:rPr>
              <w:t>的</w:t>
            </w:r>
            <w:r>
              <w:rPr>
                <w:rFonts w:hint="eastAsia" w:ascii="宋体" w:hAnsi="宋体"/>
                <w:b w:val="0"/>
                <w:bCs/>
                <w:sz w:val="21"/>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193"/>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确</w:t>
            </w:r>
            <w:r>
              <w:rPr>
                <w:rFonts w:hint="eastAsia" w:ascii="宋体" w:hAnsi="宋体"/>
                <w:b w:val="0"/>
                <w:bCs/>
                <w:spacing w:val="-3"/>
                <w:sz w:val="21"/>
                <w:highlight w:val="none"/>
              </w:rPr>
              <w:t>认</w:t>
            </w:r>
            <w:r>
              <w:rPr>
                <w:rFonts w:hint="eastAsia" w:ascii="宋体" w:hAnsi="宋体"/>
                <w:b w:val="0"/>
                <w:bCs/>
                <w:sz w:val="21"/>
                <w:highlight w:val="none"/>
              </w:rPr>
              <w:t>收到</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193" w:rightChars="0"/>
              <w:jc w:val="both"/>
              <w:textAlignment w:val="auto"/>
              <w:rPr>
                <w:rFonts w:ascii="宋体" w:hAnsi="宋体"/>
                <w:b w:val="0"/>
                <w:bCs/>
                <w:kern w:val="0"/>
                <w:szCs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澄</w:t>
            </w:r>
            <w:r>
              <w:rPr>
                <w:rFonts w:hint="eastAsia" w:ascii="宋体" w:hAnsi="宋体"/>
                <w:b w:val="0"/>
                <w:bCs/>
                <w:sz w:val="21"/>
                <w:highlight w:val="none"/>
              </w:rPr>
              <w:t>清</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自</w:t>
            </w:r>
            <w:r>
              <w:rPr>
                <w:rFonts w:hint="eastAsia" w:ascii="宋体" w:hAnsi="宋体"/>
                <w:b w:val="0"/>
                <w:bCs/>
                <w:spacing w:val="-3"/>
                <w:sz w:val="21"/>
                <w:highlight w:val="none"/>
              </w:rPr>
              <w:t>行</w:t>
            </w:r>
            <w:r>
              <w:rPr>
                <w:rFonts w:hint="eastAsia" w:ascii="宋体" w:hAnsi="宋体"/>
                <w:b w:val="0"/>
                <w:bCs/>
                <w:sz w:val="21"/>
                <w:highlight w:val="none"/>
              </w:rPr>
              <w:t>网</w:t>
            </w:r>
            <w:r>
              <w:rPr>
                <w:rFonts w:hint="eastAsia" w:ascii="宋体" w:hAnsi="宋体"/>
                <w:b w:val="0"/>
                <w:bCs/>
                <w:spacing w:val="-3"/>
                <w:sz w:val="21"/>
                <w:highlight w:val="none"/>
              </w:rPr>
              <w:t>上</w:t>
            </w:r>
            <w:r>
              <w:rPr>
                <w:rFonts w:hint="eastAsia" w:ascii="宋体" w:hAnsi="宋体"/>
                <w:b w:val="0"/>
                <w:bCs/>
                <w:sz w:val="21"/>
                <w:highlight w:val="none"/>
              </w:rPr>
              <w:t>查</w:t>
            </w:r>
            <w:r>
              <w:rPr>
                <w:rFonts w:hint="eastAsia" w:ascii="宋体" w:hAnsi="宋体"/>
                <w:b w:val="0"/>
                <w:bCs/>
                <w:spacing w:val="-3"/>
                <w:sz w:val="21"/>
                <w:highlight w:val="none"/>
              </w:rPr>
              <w:t>看</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修</w:t>
            </w:r>
            <w:r>
              <w:rPr>
                <w:rFonts w:hint="eastAsia" w:ascii="宋体" w:hAnsi="宋体"/>
                <w:b w:val="0"/>
                <w:bCs/>
                <w:sz w:val="21"/>
                <w:highlight w:val="none"/>
              </w:rPr>
              <w:t>改</w:t>
            </w: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发出</w:t>
            </w:r>
            <w:r>
              <w:rPr>
                <w:rFonts w:hint="eastAsia" w:ascii="宋体" w:hAnsi="宋体"/>
                <w:b w:val="0"/>
                <w:bCs/>
                <w:spacing w:val="-3"/>
                <w:sz w:val="21"/>
                <w:highlight w:val="none"/>
              </w:rPr>
              <w:t>的</w:t>
            </w:r>
            <w:r>
              <w:rPr>
                <w:rFonts w:hint="eastAsia" w:ascii="宋体" w:hAnsi="宋体"/>
                <w:b w:val="0"/>
                <w:bCs/>
                <w:sz w:val="21"/>
                <w:highlight w:val="none"/>
              </w:rPr>
              <w:t>形式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如有</w:t>
            </w:r>
            <w:r>
              <w:rPr>
                <w:rFonts w:hint="eastAsia" w:ascii="宋体" w:hAnsi="宋体"/>
                <w:b w:val="0"/>
                <w:bCs/>
                <w:spacing w:val="-3"/>
                <w:sz w:val="21"/>
                <w:highlight w:val="none"/>
              </w:rPr>
              <w:t>修</w:t>
            </w:r>
            <w:r>
              <w:rPr>
                <w:rFonts w:hint="eastAsia" w:ascii="宋体" w:hAnsi="宋体"/>
                <w:b w:val="0"/>
                <w:bCs/>
                <w:spacing w:val="-1"/>
                <w:sz w:val="21"/>
                <w:highlight w:val="none"/>
              </w:rPr>
              <w:t>改</w:t>
            </w:r>
            <w:r>
              <w:rPr>
                <w:rFonts w:hint="eastAsia" w:ascii="宋体" w:hAnsi="宋体"/>
                <w:b w:val="0"/>
                <w:bCs/>
                <w:spacing w:val="-56"/>
                <w:sz w:val="21"/>
                <w:highlight w:val="none"/>
              </w:rPr>
              <w:t>，</w:t>
            </w:r>
            <w:r>
              <w:rPr>
                <w:rFonts w:hint="eastAsia" w:ascii="宋体" w:hAnsi="宋体"/>
                <w:b w:val="0"/>
                <w:bCs/>
                <w:sz w:val="21"/>
                <w:highlight w:val="none"/>
              </w:rPr>
              <w:t>招</w:t>
            </w:r>
            <w:r>
              <w:rPr>
                <w:rFonts w:hint="eastAsia" w:ascii="宋体" w:hAnsi="宋体"/>
                <w:b w:val="0"/>
                <w:bCs/>
                <w:spacing w:val="-3"/>
                <w:sz w:val="21"/>
                <w:highlight w:val="none"/>
              </w:rPr>
              <w:t>标</w:t>
            </w:r>
            <w:r>
              <w:rPr>
                <w:rFonts w:hint="eastAsia" w:ascii="宋体" w:hAnsi="宋体"/>
                <w:b w:val="0"/>
                <w:bCs/>
                <w:sz w:val="21"/>
                <w:highlight w:val="none"/>
              </w:rPr>
              <w:t>人</w:t>
            </w:r>
            <w:r>
              <w:rPr>
                <w:rFonts w:hint="eastAsia" w:ascii="宋体" w:hAnsi="宋体"/>
                <w:b w:val="0"/>
                <w:bCs/>
                <w:spacing w:val="-3"/>
                <w:sz w:val="21"/>
                <w:highlight w:val="none"/>
              </w:rPr>
              <w:t>于</w:t>
            </w:r>
            <w:r>
              <w:rPr>
                <w:rFonts w:hint="eastAsia" w:ascii="宋体" w:hAnsi="宋体"/>
                <w:b w:val="0"/>
                <w:bCs/>
                <w:sz w:val="21"/>
                <w:highlight w:val="none"/>
              </w:rPr>
              <w:t>投</w:t>
            </w:r>
            <w:r>
              <w:rPr>
                <w:rFonts w:hint="eastAsia" w:ascii="宋体" w:hAnsi="宋体"/>
                <w:b w:val="0"/>
                <w:bCs/>
                <w:spacing w:val="-3"/>
                <w:sz w:val="21"/>
                <w:highlight w:val="none"/>
              </w:rPr>
              <w:t>标</w:t>
            </w:r>
            <w:r>
              <w:rPr>
                <w:rFonts w:hint="eastAsia" w:ascii="宋体" w:hAnsi="宋体"/>
                <w:b w:val="0"/>
                <w:bCs/>
                <w:sz w:val="21"/>
                <w:highlight w:val="none"/>
              </w:rPr>
              <w:t>截止</w:t>
            </w:r>
            <w:r>
              <w:rPr>
                <w:rFonts w:hint="eastAsia" w:ascii="宋体" w:hAnsi="宋体"/>
                <w:b w:val="0"/>
                <w:bCs/>
                <w:spacing w:val="-3"/>
                <w:sz w:val="21"/>
                <w:highlight w:val="none"/>
              </w:rPr>
              <w:t>时</w:t>
            </w:r>
            <w:r>
              <w:rPr>
                <w:rFonts w:hint="eastAsia" w:ascii="宋体" w:hAnsi="宋体"/>
                <w:b w:val="0"/>
                <w:bCs/>
                <w:sz w:val="21"/>
                <w:highlight w:val="none"/>
              </w:rPr>
              <w:t>间</w:t>
            </w:r>
            <w:r>
              <w:rPr>
                <w:rFonts w:hint="eastAsia" w:ascii="宋体" w:hAnsi="宋体"/>
                <w:b w:val="0"/>
                <w:bCs/>
                <w:spacing w:val="-3"/>
                <w:sz w:val="21"/>
                <w:highlight w:val="none"/>
              </w:rPr>
              <w:t>1</w:t>
            </w:r>
            <w:r>
              <w:rPr>
                <w:rFonts w:hint="eastAsia" w:ascii="宋体" w:hAnsi="宋体"/>
                <w:b w:val="0"/>
                <w:bCs/>
                <w:sz w:val="21"/>
                <w:highlight w:val="none"/>
              </w:rPr>
              <w:t>5</w:t>
            </w:r>
            <w:r>
              <w:rPr>
                <w:rFonts w:hint="eastAsia" w:ascii="宋体" w:hAnsi="宋体"/>
                <w:b w:val="0"/>
                <w:bCs/>
                <w:spacing w:val="-3"/>
                <w:sz w:val="21"/>
                <w:highlight w:val="none"/>
              </w:rPr>
              <w:t>天</w:t>
            </w:r>
            <w:r>
              <w:rPr>
                <w:rFonts w:hint="eastAsia" w:ascii="宋体" w:hAnsi="宋体"/>
                <w:b w:val="0"/>
                <w:bCs/>
                <w:sz w:val="21"/>
                <w:highlight w:val="none"/>
              </w:rPr>
              <w:t>前</w:t>
            </w:r>
            <w:r>
              <w:rPr>
                <w:rFonts w:hint="eastAsia" w:ascii="宋体" w:hAnsi="宋体"/>
                <w:b w:val="0"/>
                <w:bCs/>
                <w:spacing w:val="-56"/>
                <w:sz w:val="21"/>
                <w:highlight w:val="none"/>
              </w:rPr>
              <w:t>，</w:t>
            </w:r>
            <w:r>
              <w:rPr>
                <w:rFonts w:hint="eastAsia" w:ascii="宋体" w:hAnsi="宋体"/>
                <w:b w:val="0"/>
                <w:bCs/>
                <w:sz w:val="21"/>
                <w:highlight w:val="none"/>
              </w:rPr>
              <w:t>将</w:t>
            </w:r>
            <w:r>
              <w:rPr>
                <w:rFonts w:hint="eastAsia" w:ascii="宋体" w:hAnsi="宋体"/>
                <w:b w:val="0"/>
                <w:bCs/>
                <w:spacing w:val="-3"/>
                <w:sz w:val="21"/>
                <w:highlight w:val="none"/>
              </w:rPr>
              <w:t>修改</w:t>
            </w:r>
            <w:r>
              <w:rPr>
                <w:rFonts w:hint="eastAsia" w:ascii="宋体" w:hAnsi="宋体"/>
                <w:b w:val="0"/>
                <w:bCs/>
                <w:sz w:val="21"/>
                <w:highlight w:val="none"/>
              </w:rPr>
              <w:t>内容</w:t>
            </w:r>
            <w:r>
              <w:rPr>
                <w:rFonts w:hint="eastAsia" w:ascii="宋体" w:hAnsi="宋体"/>
                <w:b w:val="0"/>
                <w:bCs/>
                <w:spacing w:val="-3"/>
                <w:sz w:val="21"/>
                <w:highlight w:val="none"/>
              </w:rPr>
              <w:t>发</w:t>
            </w:r>
            <w:r>
              <w:rPr>
                <w:rFonts w:hint="eastAsia" w:ascii="宋体" w:hAnsi="宋体"/>
                <w:b w:val="0"/>
                <w:bCs/>
                <w:sz w:val="21"/>
                <w:highlight w:val="none"/>
              </w:rPr>
              <w:t>布</w:t>
            </w:r>
            <w:r>
              <w:rPr>
                <w:rFonts w:hint="eastAsia" w:ascii="宋体" w:hAnsi="宋体"/>
                <w:b w:val="0"/>
                <w:bCs/>
                <w:spacing w:val="-3"/>
                <w:sz w:val="21"/>
                <w:highlight w:val="none"/>
              </w:rPr>
              <w:t>在</w:t>
            </w:r>
            <w:r>
              <w:rPr>
                <w:rFonts w:hint="eastAsia" w:ascii="宋体" w:hAnsi="宋体"/>
                <w:b w:val="0"/>
                <w:bCs/>
                <w:sz w:val="21"/>
                <w:highlight w:val="none"/>
              </w:rPr>
              <w:t>潮州市公</w:t>
            </w:r>
            <w:r>
              <w:rPr>
                <w:rFonts w:hint="eastAsia" w:ascii="宋体" w:hAnsi="宋体"/>
                <w:b w:val="0"/>
                <w:bCs/>
                <w:spacing w:val="-3"/>
                <w:sz w:val="21"/>
                <w:highlight w:val="none"/>
              </w:rPr>
              <w:t>共</w:t>
            </w:r>
            <w:r>
              <w:rPr>
                <w:rFonts w:hint="eastAsia" w:ascii="宋体" w:hAnsi="宋体"/>
                <w:b w:val="0"/>
                <w:bCs/>
                <w:sz w:val="21"/>
                <w:highlight w:val="none"/>
              </w:rPr>
              <w:t>资</w:t>
            </w:r>
            <w:r>
              <w:rPr>
                <w:rFonts w:hint="eastAsia" w:ascii="宋体" w:hAnsi="宋体"/>
                <w:b w:val="0"/>
                <w:bCs/>
                <w:spacing w:val="-3"/>
                <w:sz w:val="21"/>
                <w:highlight w:val="none"/>
              </w:rPr>
              <w:t>源</w:t>
            </w:r>
            <w:r>
              <w:rPr>
                <w:rFonts w:hint="eastAsia" w:ascii="宋体" w:hAnsi="宋体"/>
                <w:b w:val="0"/>
                <w:bCs/>
                <w:sz w:val="21"/>
                <w:highlight w:val="none"/>
              </w:rPr>
              <w:t>交</w:t>
            </w:r>
            <w:r>
              <w:rPr>
                <w:rFonts w:hint="eastAsia" w:ascii="宋体" w:hAnsi="宋体"/>
                <w:b w:val="0"/>
                <w:bCs/>
                <w:spacing w:val="-3"/>
                <w:sz w:val="21"/>
                <w:highlight w:val="none"/>
              </w:rPr>
              <w:t>易</w:t>
            </w:r>
            <w:r>
              <w:rPr>
                <w:rFonts w:hint="eastAsia" w:ascii="宋体" w:hAnsi="宋体"/>
                <w:b w:val="0"/>
                <w:bCs/>
                <w:sz w:val="21"/>
                <w:highlight w:val="none"/>
              </w:rPr>
              <w:t>网</w:t>
            </w:r>
            <w:r>
              <w:rPr>
                <w:rFonts w:hint="eastAsia" w:ascii="宋体" w:hAnsi="宋体"/>
                <w:b w:val="0"/>
                <w:bCs/>
                <w:spacing w:val="-3"/>
                <w:sz w:val="21"/>
                <w:highlight w:val="none"/>
              </w:rPr>
              <w:t>（</w:t>
            </w:r>
            <w:r>
              <w:rPr>
                <w:rFonts w:hint="eastAsia" w:ascii="宋体" w:hAnsi="宋体"/>
                <w:b w:val="0"/>
                <w:bCs/>
                <w:spacing w:val="-3"/>
                <w:sz w:val="21"/>
                <w:highlight w:val="none"/>
              </w:rPr>
              <w:fldChar w:fldCharType="begin"/>
            </w:r>
            <w:r>
              <w:rPr>
                <w:rFonts w:hint="eastAsia" w:ascii="宋体" w:hAnsi="宋体"/>
                <w:b w:val="0"/>
                <w:bCs/>
                <w:spacing w:val="-3"/>
                <w:sz w:val="21"/>
                <w:highlight w:val="none"/>
              </w:rPr>
              <w:instrText xml:space="preserve"> HYPERLINK "http://www.czggzy.com/" </w:instrText>
            </w:r>
            <w:r>
              <w:rPr>
                <w:rFonts w:hint="eastAsia" w:ascii="宋体" w:hAnsi="宋体"/>
                <w:b w:val="0"/>
                <w:bCs/>
                <w:spacing w:val="-3"/>
                <w:sz w:val="21"/>
                <w:highlight w:val="none"/>
              </w:rPr>
              <w:fldChar w:fldCharType="separate"/>
            </w:r>
            <w:r>
              <w:rPr>
                <w:rFonts w:hint="eastAsia" w:ascii="宋体" w:hAnsi="宋体"/>
                <w:b w:val="0"/>
                <w:bCs/>
                <w:sz w:val="21"/>
                <w:highlight w:val="none"/>
              </w:rPr>
              <w:t>www</w:t>
            </w:r>
            <w:r>
              <w:rPr>
                <w:rFonts w:hint="eastAsia" w:ascii="宋体" w:hAnsi="宋体"/>
                <w:b w:val="0"/>
                <w:bCs/>
                <w:spacing w:val="-3"/>
                <w:sz w:val="21"/>
                <w:highlight w:val="none"/>
              </w:rPr>
              <w:t>.c</w:t>
            </w:r>
            <w:r>
              <w:rPr>
                <w:rFonts w:hint="eastAsia" w:ascii="宋体" w:hAnsi="宋体"/>
                <w:b w:val="0"/>
                <w:bCs/>
                <w:sz w:val="21"/>
                <w:highlight w:val="none"/>
              </w:rPr>
              <w:t>zggzy</w:t>
            </w:r>
            <w:r>
              <w:rPr>
                <w:rFonts w:hint="eastAsia" w:ascii="宋体" w:hAnsi="宋体"/>
                <w:b w:val="0"/>
                <w:bCs/>
                <w:spacing w:val="-3"/>
                <w:sz w:val="21"/>
                <w:highlight w:val="none"/>
              </w:rPr>
              <w:t>.</w:t>
            </w:r>
            <w:r>
              <w:rPr>
                <w:rFonts w:hint="eastAsia" w:ascii="宋体" w:hAnsi="宋体"/>
                <w:b w:val="0"/>
                <w:bCs/>
                <w:sz w:val="21"/>
                <w:highlight w:val="none"/>
              </w:rPr>
              <w:t>co</w:t>
            </w:r>
            <w:r>
              <w:rPr>
                <w:rFonts w:hint="eastAsia" w:ascii="宋体" w:hAnsi="宋体"/>
                <w:b w:val="0"/>
                <w:bCs/>
                <w:spacing w:val="-3"/>
                <w:sz w:val="21"/>
                <w:highlight w:val="none"/>
              </w:rPr>
              <w:t>m</w:t>
            </w:r>
            <w:r>
              <w:rPr>
                <w:rFonts w:hint="eastAsia" w:ascii="宋体" w:hAnsi="宋体"/>
                <w:b w:val="0"/>
                <w:bCs/>
                <w:spacing w:val="-3"/>
                <w:sz w:val="21"/>
                <w:highlight w:val="none"/>
              </w:rPr>
              <w:fldChar w:fldCharType="end"/>
            </w:r>
            <w:r>
              <w:rPr>
                <w:rFonts w:hint="eastAsia" w:ascii="宋体" w:hAnsi="宋体"/>
                <w:b w:val="0"/>
                <w:bCs/>
                <w:sz w:val="21"/>
                <w:highlight w:val="none"/>
              </w:rPr>
              <w:t>）</w:t>
            </w:r>
            <w:r>
              <w:rPr>
                <w:rFonts w:hint="eastAsia" w:ascii="宋体" w:hAnsi="宋体"/>
                <w:b w:val="0"/>
                <w:bCs/>
                <w:spacing w:val="-3"/>
                <w:sz w:val="21"/>
                <w:highlight w:val="none"/>
              </w:rPr>
              <w:t>。</w:t>
            </w:r>
            <w:r>
              <w:rPr>
                <w:rFonts w:hint="eastAsia" w:ascii="宋体" w:hAnsi="宋体"/>
                <w:b w:val="0"/>
                <w:bCs/>
                <w:sz w:val="21"/>
                <w:highlight w:val="none"/>
              </w:rPr>
              <w:t>请</w:t>
            </w:r>
            <w:r>
              <w:rPr>
                <w:rFonts w:hint="eastAsia" w:ascii="宋体" w:hAnsi="宋体"/>
                <w:b w:val="0"/>
                <w:bCs/>
                <w:spacing w:val="-3"/>
                <w:sz w:val="21"/>
                <w:highlight w:val="none"/>
              </w:rPr>
              <w:t>密</w:t>
            </w:r>
            <w:r>
              <w:rPr>
                <w:rFonts w:hint="eastAsia" w:ascii="宋体" w:hAnsi="宋体"/>
                <w:b w:val="0"/>
                <w:bCs/>
                <w:sz w:val="21"/>
                <w:highlight w:val="none"/>
              </w:rPr>
              <w:t>切</w:t>
            </w:r>
            <w:r>
              <w:rPr>
                <w:rFonts w:hint="eastAsia" w:ascii="宋体" w:hAnsi="宋体"/>
                <w:b w:val="0"/>
                <w:bCs/>
                <w:spacing w:val="-3"/>
                <w:sz w:val="21"/>
                <w:highlight w:val="none"/>
              </w:rPr>
              <w:t>留意</w:t>
            </w:r>
            <w:r>
              <w:rPr>
                <w:rFonts w:hint="eastAsia" w:ascii="宋体" w:hAnsi="宋体"/>
                <w:b w:val="0"/>
                <w:bCs/>
                <w:sz w:val="21"/>
                <w:highlight w:val="none"/>
              </w:rPr>
              <w:t>系统</w:t>
            </w:r>
            <w:r>
              <w:rPr>
                <w:rFonts w:hint="eastAsia" w:ascii="宋体" w:hAnsi="宋体"/>
                <w:b w:val="0"/>
                <w:bCs/>
                <w:spacing w:val="-3"/>
                <w:sz w:val="21"/>
                <w:highlight w:val="none"/>
              </w:rPr>
              <w:t>中</w:t>
            </w:r>
            <w:r>
              <w:rPr>
                <w:rFonts w:hint="eastAsia" w:ascii="宋体" w:hAnsi="宋体"/>
                <w:b w:val="0"/>
                <w:bCs/>
                <w:sz w:val="21"/>
                <w:highlight w:val="none"/>
              </w:rPr>
              <w:t>的</w:t>
            </w:r>
            <w:r>
              <w:rPr>
                <w:rFonts w:hint="eastAsia" w:ascii="宋体" w:hAnsi="宋体"/>
                <w:b w:val="0"/>
                <w:bCs/>
                <w:spacing w:val="-3"/>
                <w:sz w:val="21"/>
                <w:highlight w:val="none"/>
              </w:rPr>
              <w:t>公</w:t>
            </w:r>
            <w:r>
              <w:rPr>
                <w:rFonts w:hint="eastAsia" w:ascii="宋体" w:hAnsi="宋体"/>
                <w:b w:val="0"/>
                <w:bCs/>
                <w:sz w:val="21"/>
                <w:highlight w:val="none"/>
              </w:rPr>
              <w:t>告、项目答</w:t>
            </w:r>
            <w:r>
              <w:rPr>
                <w:rFonts w:hint="eastAsia" w:ascii="宋体" w:hAnsi="宋体"/>
                <w:b w:val="0"/>
                <w:bCs/>
                <w:spacing w:val="-3"/>
                <w:sz w:val="21"/>
                <w:highlight w:val="none"/>
              </w:rPr>
              <w:t>疑</w:t>
            </w:r>
            <w:r>
              <w:rPr>
                <w:rFonts w:hint="eastAsia" w:ascii="宋体" w:hAnsi="宋体"/>
                <w:b w:val="0"/>
                <w:bCs/>
                <w:sz w:val="21"/>
                <w:highlight w:val="none"/>
              </w:rPr>
              <w:t>等</w:t>
            </w:r>
            <w:r>
              <w:rPr>
                <w:rFonts w:hint="eastAsia" w:ascii="宋体" w:hAnsi="宋体"/>
                <w:b w:val="0"/>
                <w:bCs/>
                <w:spacing w:val="-3"/>
                <w:sz w:val="21"/>
                <w:highlight w:val="none"/>
              </w:rPr>
              <w:t>与</w:t>
            </w:r>
            <w:r>
              <w:rPr>
                <w:rFonts w:hint="eastAsia" w:ascii="宋体" w:hAnsi="宋体"/>
                <w:b w:val="0"/>
                <w:bCs/>
                <w:sz w:val="21"/>
                <w:highlight w:val="none"/>
              </w:rPr>
              <w:t>本</w:t>
            </w:r>
            <w:r>
              <w:rPr>
                <w:rFonts w:hint="eastAsia" w:ascii="宋体" w:hAnsi="宋体"/>
                <w:b w:val="0"/>
                <w:bCs/>
                <w:spacing w:val="-3"/>
                <w:sz w:val="21"/>
                <w:highlight w:val="none"/>
              </w:rPr>
              <w:t>工</w:t>
            </w:r>
            <w:r>
              <w:rPr>
                <w:rFonts w:hint="eastAsia" w:ascii="宋体" w:hAnsi="宋体"/>
                <w:b w:val="0"/>
                <w:bCs/>
                <w:sz w:val="21"/>
                <w:highlight w:val="none"/>
              </w:rPr>
              <w:t>程</w:t>
            </w:r>
            <w:r>
              <w:rPr>
                <w:rFonts w:hint="eastAsia" w:ascii="宋体" w:hAnsi="宋体"/>
                <w:b w:val="0"/>
                <w:bCs/>
                <w:spacing w:val="-3"/>
                <w:sz w:val="21"/>
                <w:highlight w:val="none"/>
              </w:rPr>
              <w:t>相</w:t>
            </w:r>
            <w:r>
              <w:rPr>
                <w:rFonts w:hint="eastAsia" w:ascii="宋体" w:hAnsi="宋体"/>
                <w:b w:val="0"/>
                <w:bCs/>
                <w:sz w:val="21"/>
                <w:highlight w:val="none"/>
              </w:rPr>
              <w:t>关</w:t>
            </w:r>
            <w:r>
              <w:rPr>
                <w:rFonts w:hint="eastAsia" w:ascii="宋体" w:hAnsi="宋体"/>
                <w:b w:val="0"/>
                <w:bCs/>
                <w:spacing w:val="-3"/>
                <w:sz w:val="21"/>
                <w:highlight w:val="none"/>
              </w:rPr>
              <w:t>的</w:t>
            </w:r>
            <w:r>
              <w:rPr>
                <w:rFonts w:hint="eastAsia" w:ascii="宋体" w:hAnsi="宋体"/>
                <w:b w:val="0"/>
                <w:bCs/>
                <w:sz w:val="21"/>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193"/>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确</w:t>
            </w:r>
            <w:r>
              <w:rPr>
                <w:rFonts w:hint="eastAsia" w:ascii="宋体" w:hAnsi="宋体"/>
                <w:b w:val="0"/>
                <w:bCs/>
                <w:spacing w:val="-3"/>
                <w:sz w:val="21"/>
                <w:highlight w:val="none"/>
              </w:rPr>
              <w:t>认</w:t>
            </w:r>
            <w:r>
              <w:rPr>
                <w:rFonts w:hint="eastAsia" w:ascii="宋体" w:hAnsi="宋体"/>
                <w:b w:val="0"/>
                <w:bCs/>
                <w:sz w:val="21"/>
                <w:highlight w:val="none"/>
              </w:rPr>
              <w:t>收到</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193" w:rightChars="0"/>
              <w:jc w:val="both"/>
              <w:textAlignment w:val="auto"/>
              <w:rPr>
                <w:rFonts w:ascii="宋体" w:hAnsi="宋体"/>
                <w:b w:val="0"/>
                <w:bCs/>
                <w:kern w:val="0"/>
                <w:szCs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修</w:t>
            </w:r>
            <w:r>
              <w:rPr>
                <w:rFonts w:hint="eastAsia" w:ascii="宋体" w:hAnsi="宋体"/>
                <w:b w:val="0"/>
                <w:bCs/>
                <w:sz w:val="21"/>
                <w:highlight w:val="none"/>
              </w:rPr>
              <w:t>改</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自</w:t>
            </w:r>
            <w:r>
              <w:rPr>
                <w:rFonts w:hint="eastAsia" w:ascii="宋体" w:hAnsi="宋体"/>
                <w:b w:val="0"/>
                <w:bCs/>
                <w:spacing w:val="-3"/>
                <w:sz w:val="21"/>
                <w:highlight w:val="none"/>
              </w:rPr>
              <w:t>行</w:t>
            </w:r>
            <w:r>
              <w:rPr>
                <w:rFonts w:hint="eastAsia" w:ascii="宋体" w:hAnsi="宋体"/>
                <w:b w:val="0"/>
                <w:bCs/>
                <w:sz w:val="21"/>
                <w:highlight w:val="none"/>
              </w:rPr>
              <w:t>网</w:t>
            </w:r>
            <w:r>
              <w:rPr>
                <w:rFonts w:hint="eastAsia" w:ascii="宋体" w:hAnsi="宋体"/>
                <w:b w:val="0"/>
                <w:bCs/>
                <w:spacing w:val="-3"/>
                <w:sz w:val="21"/>
                <w:highlight w:val="none"/>
              </w:rPr>
              <w:t>上</w:t>
            </w:r>
            <w:r>
              <w:rPr>
                <w:rFonts w:hint="eastAsia" w:ascii="宋体" w:hAnsi="宋体"/>
                <w:b w:val="0"/>
                <w:bCs/>
                <w:sz w:val="21"/>
                <w:highlight w:val="none"/>
              </w:rPr>
              <w:t>查</w:t>
            </w:r>
            <w:r>
              <w:rPr>
                <w:rFonts w:hint="eastAsia" w:ascii="宋体" w:hAnsi="宋体"/>
                <w:b w:val="0"/>
                <w:bCs/>
                <w:spacing w:val="-3"/>
                <w:sz w:val="21"/>
                <w:highlight w:val="none"/>
              </w:rPr>
              <w:t>看</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jc w:val="both"/>
              <w:textAlignment w:val="auto"/>
              <w:rPr>
                <w:rFonts w:hint="eastAsia" w:ascii="宋体" w:hAnsi="宋体"/>
                <w:b w:val="0"/>
                <w:bCs/>
                <w:sz w:val="21"/>
                <w:highlight w:val="none"/>
              </w:rPr>
            </w:pPr>
            <w:r>
              <w:rPr>
                <w:rFonts w:hint="eastAsia" w:ascii="宋体" w:hAnsi="宋体"/>
                <w:b w:val="0"/>
                <w:bCs/>
                <w:sz w:val="21"/>
                <w:highlight w:val="none"/>
              </w:rPr>
              <w:t>构成</w:t>
            </w:r>
            <w:r>
              <w:rPr>
                <w:rFonts w:hint="eastAsia" w:ascii="宋体" w:hAnsi="宋体"/>
                <w:b w:val="0"/>
                <w:bCs/>
                <w:spacing w:val="-3"/>
                <w:sz w:val="21"/>
                <w:highlight w:val="none"/>
              </w:rPr>
              <w:t>投</w:t>
            </w:r>
            <w:r>
              <w:rPr>
                <w:rFonts w:hint="eastAsia" w:ascii="宋体" w:hAnsi="宋体"/>
                <w:b w:val="0"/>
                <w:bCs/>
                <w:sz w:val="21"/>
                <w:highlight w:val="none"/>
              </w:rPr>
              <w:t>标</w:t>
            </w:r>
            <w:r>
              <w:rPr>
                <w:rFonts w:hint="eastAsia" w:ascii="宋体" w:hAnsi="宋体"/>
                <w:b w:val="0"/>
                <w:bCs/>
                <w:spacing w:val="-3"/>
                <w:sz w:val="21"/>
                <w:highlight w:val="none"/>
              </w:rPr>
              <w:t>文</w:t>
            </w:r>
            <w:r>
              <w:rPr>
                <w:rFonts w:hint="eastAsia" w:ascii="宋体" w:hAnsi="宋体"/>
                <w:b w:val="0"/>
                <w:bCs/>
                <w:sz w:val="21"/>
                <w:highlight w:val="none"/>
              </w:rPr>
              <w:t>件</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402" w:rightChars="0"/>
              <w:jc w:val="both"/>
              <w:textAlignment w:val="auto"/>
              <w:rPr>
                <w:rFonts w:ascii="宋体" w:hAnsi="宋体"/>
                <w:b w:val="0"/>
                <w:bCs/>
                <w:kern w:val="0"/>
                <w:szCs w:val="21"/>
                <w:highlight w:val="none"/>
              </w:rPr>
            </w:pPr>
            <w:r>
              <w:rPr>
                <w:rFonts w:hint="eastAsia" w:ascii="宋体" w:hAnsi="宋体"/>
                <w:b w:val="0"/>
                <w:bCs/>
                <w:sz w:val="21"/>
                <w:highlight w:val="none"/>
              </w:rPr>
              <w:t>的其</w:t>
            </w:r>
            <w:r>
              <w:rPr>
                <w:rFonts w:hint="eastAsia" w:ascii="宋体" w:hAnsi="宋体"/>
                <w:b w:val="0"/>
                <w:bCs/>
                <w:spacing w:val="-3"/>
                <w:sz w:val="21"/>
                <w:highlight w:val="none"/>
              </w:rPr>
              <w:t>他</w:t>
            </w:r>
            <w:r>
              <w:rPr>
                <w:rFonts w:hint="eastAsia" w:ascii="宋体" w:hAnsi="宋体"/>
                <w:b w:val="0"/>
                <w:bCs/>
                <w:sz w:val="21"/>
                <w:highlight w:val="none"/>
              </w:rPr>
              <w:t>资料</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在投</w:t>
            </w:r>
            <w:r>
              <w:rPr>
                <w:rFonts w:hint="eastAsia" w:ascii="宋体" w:hAnsi="宋体"/>
                <w:b w:val="0"/>
                <w:bCs/>
                <w:spacing w:val="-3"/>
                <w:sz w:val="21"/>
                <w:highlight w:val="none"/>
              </w:rPr>
              <w:t>标</w:t>
            </w:r>
            <w:r>
              <w:rPr>
                <w:rFonts w:hint="eastAsia" w:ascii="宋体" w:hAnsi="宋体"/>
                <w:b w:val="0"/>
                <w:bCs/>
                <w:sz w:val="21"/>
                <w:highlight w:val="none"/>
              </w:rPr>
              <w:t>截</w:t>
            </w:r>
            <w:r>
              <w:rPr>
                <w:rFonts w:hint="eastAsia" w:ascii="宋体" w:hAnsi="宋体"/>
                <w:b w:val="0"/>
                <w:bCs/>
                <w:spacing w:val="-3"/>
                <w:sz w:val="21"/>
                <w:highlight w:val="none"/>
              </w:rPr>
              <w:t>止</w:t>
            </w:r>
            <w:r>
              <w:rPr>
                <w:rFonts w:hint="eastAsia" w:ascii="宋体" w:hAnsi="宋体"/>
                <w:b w:val="0"/>
                <w:bCs/>
                <w:sz w:val="21"/>
                <w:highlight w:val="none"/>
              </w:rPr>
              <w:t>时</w:t>
            </w:r>
            <w:r>
              <w:rPr>
                <w:rFonts w:hint="eastAsia" w:ascii="宋体" w:hAnsi="宋体"/>
                <w:b w:val="0"/>
                <w:bCs/>
                <w:spacing w:val="-3"/>
                <w:sz w:val="21"/>
                <w:highlight w:val="none"/>
              </w:rPr>
              <w:t>间</w:t>
            </w:r>
            <w:r>
              <w:rPr>
                <w:rFonts w:hint="eastAsia" w:ascii="宋体" w:hAnsi="宋体"/>
                <w:b w:val="0"/>
                <w:bCs/>
                <w:sz w:val="21"/>
                <w:highlight w:val="none"/>
              </w:rPr>
              <w:t>前</w:t>
            </w:r>
            <w:r>
              <w:rPr>
                <w:rFonts w:hint="eastAsia" w:ascii="宋体" w:hAnsi="宋体"/>
                <w:b w:val="0"/>
                <w:bCs/>
                <w:spacing w:val="-3"/>
                <w:sz w:val="21"/>
                <w:highlight w:val="none"/>
              </w:rPr>
              <w:t>提</w:t>
            </w:r>
            <w:r>
              <w:rPr>
                <w:rFonts w:hint="eastAsia" w:ascii="宋体" w:hAnsi="宋体"/>
                <w:b w:val="0"/>
                <w:bCs/>
                <w:sz w:val="21"/>
                <w:highlight w:val="none"/>
              </w:rPr>
              <w:t>交</w:t>
            </w:r>
            <w:r>
              <w:rPr>
                <w:rFonts w:hint="eastAsia" w:ascii="宋体" w:hAnsi="宋体"/>
                <w:b w:val="0"/>
                <w:bCs/>
                <w:spacing w:val="-3"/>
                <w:sz w:val="21"/>
                <w:highlight w:val="none"/>
              </w:rPr>
              <w:t>的</w:t>
            </w:r>
            <w:r>
              <w:rPr>
                <w:rFonts w:hint="eastAsia" w:ascii="宋体" w:hAnsi="宋体"/>
                <w:b w:val="0"/>
                <w:bCs/>
                <w:sz w:val="21"/>
                <w:highlight w:val="none"/>
              </w:rPr>
              <w:t>书面</w:t>
            </w:r>
            <w:r>
              <w:rPr>
                <w:rFonts w:hint="eastAsia" w:ascii="宋体" w:hAnsi="宋体"/>
                <w:b w:val="0"/>
                <w:bCs/>
                <w:spacing w:val="-3"/>
                <w:sz w:val="21"/>
                <w:highlight w:val="none"/>
              </w:rPr>
              <w:t>修</w:t>
            </w:r>
            <w:r>
              <w:rPr>
                <w:rFonts w:hint="eastAsia" w:ascii="宋体" w:hAnsi="宋体"/>
                <w:b w:val="0"/>
                <w:bCs/>
                <w:sz w:val="21"/>
                <w:highlight w:val="none"/>
              </w:rPr>
              <w:t>改</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及</w:t>
            </w:r>
            <w:r>
              <w:rPr>
                <w:rFonts w:hint="eastAsia" w:ascii="宋体" w:hAnsi="宋体"/>
                <w:b w:val="0"/>
                <w:bCs/>
                <w:sz w:val="21"/>
                <w:highlight w:val="none"/>
              </w:rPr>
              <w:t>按</w:t>
            </w:r>
            <w:r>
              <w:rPr>
                <w:rFonts w:hint="eastAsia" w:ascii="宋体" w:hAnsi="宋体"/>
                <w:b w:val="0"/>
                <w:bCs/>
                <w:spacing w:val="-3"/>
                <w:sz w:val="21"/>
                <w:highlight w:val="none"/>
              </w:rPr>
              <w:t>评</w:t>
            </w:r>
            <w:r>
              <w:rPr>
                <w:rFonts w:hint="eastAsia" w:ascii="宋体" w:hAnsi="宋体"/>
                <w:b w:val="0"/>
                <w:bCs/>
                <w:sz w:val="21"/>
                <w:highlight w:val="none"/>
              </w:rPr>
              <w:t>标</w:t>
            </w:r>
            <w:r>
              <w:rPr>
                <w:rFonts w:hint="eastAsia" w:ascii="宋体" w:hAnsi="宋体"/>
                <w:b w:val="0"/>
                <w:bCs/>
                <w:spacing w:val="-3"/>
                <w:sz w:val="21"/>
                <w:highlight w:val="none"/>
              </w:rPr>
              <w:t>委</w:t>
            </w:r>
            <w:r>
              <w:rPr>
                <w:rFonts w:hint="eastAsia" w:ascii="宋体" w:hAnsi="宋体"/>
                <w:b w:val="0"/>
                <w:bCs/>
                <w:sz w:val="21"/>
                <w:highlight w:val="none"/>
              </w:rPr>
              <w:t>员会</w:t>
            </w:r>
            <w:r>
              <w:rPr>
                <w:rFonts w:hint="eastAsia" w:ascii="宋体" w:hAnsi="宋体"/>
                <w:b w:val="0"/>
                <w:bCs/>
                <w:spacing w:val="-3"/>
                <w:sz w:val="21"/>
                <w:highlight w:val="none"/>
              </w:rPr>
              <w:t>要</w:t>
            </w:r>
            <w:r>
              <w:rPr>
                <w:rFonts w:hint="eastAsia" w:ascii="宋体" w:hAnsi="宋体"/>
                <w:b w:val="0"/>
                <w:bCs/>
                <w:sz w:val="21"/>
                <w:highlight w:val="none"/>
              </w:rPr>
              <w:t>求</w:t>
            </w:r>
            <w:r>
              <w:rPr>
                <w:rFonts w:hint="eastAsia" w:ascii="宋体" w:hAnsi="宋体"/>
                <w:b w:val="0"/>
                <w:bCs/>
                <w:spacing w:val="-3"/>
                <w:sz w:val="21"/>
                <w:highlight w:val="none"/>
              </w:rPr>
              <w:t>提</w:t>
            </w:r>
            <w:r>
              <w:rPr>
                <w:rFonts w:hint="eastAsia" w:ascii="宋体" w:hAnsi="宋体"/>
                <w:b w:val="0"/>
                <w:bCs/>
                <w:sz w:val="21"/>
                <w:highlight w:val="none"/>
              </w:rPr>
              <w:t>交的澄清</w:t>
            </w:r>
            <w:r>
              <w:rPr>
                <w:rFonts w:hint="eastAsia" w:ascii="宋体" w:hAnsi="宋体"/>
                <w:b w:val="0"/>
                <w:bCs/>
                <w:spacing w:val="-3"/>
                <w:sz w:val="21"/>
                <w:highlight w:val="none"/>
              </w:rPr>
              <w:t>文</w:t>
            </w:r>
            <w:r>
              <w:rPr>
                <w:rFonts w:hint="eastAsia" w:ascii="宋体" w:hAnsi="宋体"/>
                <w:b w:val="0"/>
                <w:bCs/>
                <w:sz w:val="21"/>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418" w:rightChars="0"/>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报</w:t>
            </w:r>
            <w:r>
              <w:rPr>
                <w:rFonts w:hint="eastAsia" w:ascii="宋体" w:hAnsi="宋体"/>
                <w:b w:val="0"/>
                <w:bCs/>
                <w:sz w:val="21"/>
                <w:highlight w:val="none"/>
              </w:rPr>
              <w:t>价的其他</w:t>
            </w:r>
            <w:r>
              <w:rPr>
                <w:rFonts w:hint="eastAsia" w:ascii="宋体" w:hAnsi="宋体"/>
                <w:b w:val="0"/>
                <w:bCs/>
                <w:spacing w:val="-3"/>
                <w:sz w:val="21"/>
                <w:highlight w:val="none"/>
              </w:rPr>
              <w:t>要</w:t>
            </w:r>
            <w:r>
              <w:rPr>
                <w:rFonts w:hint="eastAsia" w:ascii="宋体" w:hAnsi="宋体"/>
                <w:b w:val="0"/>
                <w:bCs/>
                <w:sz w:val="21"/>
                <w:highlight w:val="none"/>
              </w:rPr>
              <w:t>求</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80" w:firstLineChars="200"/>
              <w:jc w:val="both"/>
              <w:textAlignment w:val="auto"/>
              <w:rPr>
                <w:rFonts w:ascii="宋体" w:hAnsi="宋体"/>
                <w:b w:val="0"/>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4" w:line="480" w:lineRule="exact"/>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有</w:t>
            </w:r>
            <w:r>
              <w:rPr>
                <w:rFonts w:hint="eastAsia" w:ascii="宋体" w:hAnsi="宋体"/>
                <w:b w:val="0"/>
                <w:bCs/>
                <w:sz w:val="21"/>
                <w:highlight w:val="none"/>
              </w:rPr>
              <w:t>效期</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4"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90</w:t>
            </w:r>
            <w:r>
              <w:rPr>
                <w:rFonts w:hint="eastAsia" w:ascii="宋体" w:hAnsi="宋体"/>
                <w:b w:val="0"/>
                <w:bCs/>
                <w:spacing w:val="-3"/>
                <w:sz w:val="21"/>
                <w:highlight w:val="none"/>
              </w:rPr>
              <w:t>天</w:t>
            </w:r>
            <w:r>
              <w:rPr>
                <w:rFonts w:hint="eastAsia" w:ascii="宋体" w:hAnsi="宋体"/>
                <w:b w:val="0"/>
                <w:bCs/>
                <w:sz w:val="21"/>
                <w:highlight w:val="none"/>
              </w:rPr>
              <w:t>（</w:t>
            </w:r>
            <w:r>
              <w:rPr>
                <w:rFonts w:hint="eastAsia" w:ascii="宋体" w:hAnsi="宋体"/>
                <w:b w:val="0"/>
                <w:bCs/>
                <w:spacing w:val="-3"/>
                <w:sz w:val="21"/>
                <w:highlight w:val="none"/>
              </w:rPr>
              <w:t>投</w:t>
            </w:r>
            <w:r>
              <w:rPr>
                <w:rFonts w:hint="eastAsia" w:ascii="宋体" w:hAnsi="宋体"/>
                <w:b w:val="0"/>
                <w:bCs/>
                <w:sz w:val="21"/>
                <w:highlight w:val="none"/>
              </w:rPr>
              <w:t>标</w:t>
            </w:r>
            <w:r>
              <w:rPr>
                <w:rFonts w:hint="eastAsia" w:ascii="宋体" w:hAnsi="宋体"/>
                <w:b w:val="0"/>
                <w:bCs/>
                <w:spacing w:val="-3"/>
                <w:sz w:val="21"/>
                <w:highlight w:val="none"/>
              </w:rPr>
              <w:t>截</w:t>
            </w:r>
            <w:r>
              <w:rPr>
                <w:rFonts w:hint="eastAsia" w:ascii="宋体" w:hAnsi="宋体"/>
                <w:b w:val="0"/>
                <w:bCs/>
                <w:sz w:val="21"/>
                <w:highlight w:val="none"/>
              </w:rPr>
              <w:t>止</w:t>
            </w:r>
            <w:r>
              <w:rPr>
                <w:rFonts w:hint="eastAsia" w:ascii="宋体" w:hAnsi="宋体"/>
                <w:b w:val="0"/>
                <w:bCs/>
                <w:spacing w:val="-3"/>
                <w:sz w:val="21"/>
                <w:highlight w:val="none"/>
              </w:rPr>
              <w:t>时</w:t>
            </w:r>
            <w:r>
              <w:rPr>
                <w:rFonts w:hint="eastAsia" w:ascii="宋体" w:hAnsi="宋体"/>
                <w:b w:val="0"/>
                <w:bCs/>
                <w:sz w:val="21"/>
                <w:highlight w:val="none"/>
              </w:rPr>
              <w:t>间</w:t>
            </w:r>
            <w:r>
              <w:rPr>
                <w:rFonts w:hint="eastAsia" w:ascii="宋体" w:hAnsi="宋体"/>
                <w:b w:val="0"/>
                <w:bCs/>
                <w:spacing w:val="-3"/>
                <w:sz w:val="21"/>
                <w:highlight w:val="none"/>
              </w:rPr>
              <w:t>计起</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sz w:val="21"/>
                <w:highlight w:val="none"/>
              </w:rPr>
              <w:t>其他</w:t>
            </w:r>
            <w:r>
              <w:rPr>
                <w:rFonts w:hint="eastAsia" w:ascii="宋体" w:hAnsi="宋体"/>
                <w:b w:val="0"/>
                <w:bCs/>
                <w:spacing w:val="-3"/>
                <w:sz w:val="21"/>
                <w:highlight w:val="none"/>
              </w:rPr>
              <w:t>可</w:t>
            </w:r>
            <w:r>
              <w:rPr>
                <w:rFonts w:hint="eastAsia" w:ascii="宋体" w:hAnsi="宋体"/>
                <w:b w:val="0"/>
                <w:bCs/>
                <w:sz w:val="21"/>
                <w:highlight w:val="none"/>
              </w:rPr>
              <w:t>以</w:t>
            </w:r>
            <w:r>
              <w:rPr>
                <w:rFonts w:hint="eastAsia" w:ascii="宋体" w:hAnsi="宋体"/>
                <w:b w:val="0"/>
                <w:bCs/>
                <w:spacing w:val="-3"/>
                <w:sz w:val="21"/>
                <w:highlight w:val="none"/>
              </w:rPr>
              <w:t>不</w:t>
            </w:r>
            <w:r>
              <w:rPr>
                <w:rFonts w:hint="eastAsia" w:ascii="宋体" w:hAnsi="宋体"/>
                <w:b w:val="0"/>
                <w:bCs/>
                <w:sz w:val="21"/>
                <w:highlight w:val="none"/>
              </w:rPr>
              <w:t>予</w:t>
            </w:r>
            <w:r>
              <w:rPr>
                <w:rFonts w:hint="eastAsia" w:ascii="宋体" w:hAnsi="宋体"/>
                <w:b w:val="0"/>
                <w:bCs/>
                <w:spacing w:val="-3"/>
                <w:sz w:val="21"/>
                <w:highlight w:val="none"/>
              </w:rPr>
              <w:t>退</w:t>
            </w:r>
            <w:r>
              <w:rPr>
                <w:rFonts w:hint="eastAsia" w:ascii="宋体" w:hAnsi="宋体"/>
                <w:b w:val="0"/>
                <w:bCs/>
                <w:sz w:val="21"/>
                <w:highlight w:val="none"/>
              </w:rPr>
              <w:t>还</w:t>
            </w:r>
          </w:p>
          <w:p>
            <w:pPr>
              <w:pStyle w:val="230"/>
              <w:keepNext w:val="0"/>
              <w:keepLines w:val="0"/>
              <w:pageBreakBefore w:val="0"/>
              <w:kinsoku w:val="0"/>
              <w:wordWrap/>
              <w:overflowPunct w:val="0"/>
              <w:topLinePunct w:val="0"/>
              <w:autoSpaceDE/>
              <w:autoSpaceDN/>
              <w:bidi w:val="0"/>
              <w:adjustRightInd w:val="0"/>
              <w:snapToGrid w:val="0"/>
              <w:spacing w:before="2" w:line="480" w:lineRule="exact"/>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保</w:t>
            </w:r>
            <w:r>
              <w:rPr>
                <w:rFonts w:hint="eastAsia" w:ascii="宋体" w:hAnsi="宋体"/>
                <w:b w:val="0"/>
                <w:bCs/>
                <w:sz w:val="21"/>
                <w:highlight w:val="none"/>
              </w:rPr>
              <w:t>证</w:t>
            </w:r>
            <w:r>
              <w:rPr>
                <w:rFonts w:hint="eastAsia" w:ascii="宋体" w:hAnsi="宋体"/>
                <w:b w:val="0"/>
                <w:bCs/>
                <w:spacing w:val="-3"/>
                <w:sz w:val="21"/>
                <w:highlight w:val="none"/>
              </w:rPr>
              <w:t>金</w:t>
            </w:r>
            <w:r>
              <w:rPr>
                <w:rFonts w:hint="eastAsia" w:ascii="宋体" w:hAnsi="宋体"/>
                <w:b w:val="0"/>
                <w:bCs/>
                <w:sz w:val="21"/>
                <w:highlight w:val="none"/>
              </w:rPr>
              <w:t>的</w:t>
            </w:r>
            <w:r>
              <w:rPr>
                <w:rFonts w:hint="eastAsia" w:ascii="宋体" w:hAnsi="宋体"/>
                <w:b w:val="0"/>
                <w:bCs/>
                <w:spacing w:val="-3"/>
                <w:sz w:val="21"/>
                <w:highlight w:val="none"/>
              </w:rPr>
              <w:t>情</w:t>
            </w:r>
            <w:r>
              <w:rPr>
                <w:rFonts w:hint="eastAsia" w:ascii="宋体" w:hAnsi="宋体"/>
                <w:b w:val="0"/>
                <w:bCs/>
                <w:sz w:val="21"/>
                <w:highlight w:val="none"/>
              </w:rPr>
              <w:t>形</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4" w:line="480" w:lineRule="exact"/>
              <w:jc w:val="both"/>
              <w:textAlignment w:val="auto"/>
              <w:rPr>
                <w:b w:val="0"/>
                <w:bCs/>
                <w:sz w:val="12"/>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left="291" w:leftChars="0"/>
              <w:jc w:val="both"/>
              <w:textAlignment w:val="auto"/>
              <w:rPr>
                <w:rFonts w:ascii="宋体" w:hAnsi="宋体"/>
                <w:b w:val="0"/>
                <w:bCs/>
                <w:kern w:val="0"/>
                <w:szCs w:val="21"/>
                <w:highlight w:val="none"/>
              </w:rPr>
            </w:pP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开标</w:t>
            </w:r>
            <w:r>
              <w:rPr>
                <w:rFonts w:hint="eastAsia" w:ascii="宋体" w:hAnsi="宋体"/>
                <w:b w:val="0"/>
                <w:bCs/>
                <w:spacing w:val="-3"/>
                <w:sz w:val="21"/>
                <w:highlight w:val="none"/>
              </w:rPr>
              <w:t>程</w:t>
            </w:r>
            <w:r>
              <w:rPr>
                <w:rFonts w:hint="eastAsia" w:ascii="宋体" w:hAnsi="宋体"/>
                <w:b w:val="0"/>
                <w:bCs/>
                <w:sz w:val="21"/>
                <w:highlight w:val="none"/>
              </w:rPr>
              <w:t>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519"/>
              <w:jc w:val="both"/>
              <w:textAlignment w:val="auto"/>
              <w:rPr>
                <w:rFonts w:hint="eastAsia" w:ascii="宋体" w:hAnsi="宋体"/>
                <w:b w:val="0"/>
                <w:bCs/>
                <w:spacing w:val="-3"/>
                <w:sz w:val="21"/>
                <w:highlight w:val="none"/>
              </w:rPr>
            </w:pPr>
            <w:r>
              <w:rPr>
                <w:rFonts w:hint="eastAsia" w:ascii="宋体" w:hAnsi="宋体"/>
                <w:b w:val="0"/>
                <w:bCs/>
                <w:sz w:val="21"/>
                <w:highlight w:val="none"/>
              </w:rPr>
              <w:t>开标</w:t>
            </w:r>
            <w:r>
              <w:rPr>
                <w:rFonts w:hint="eastAsia" w:ascii="宋体" w:hAnsi="宋体"/>
                <w:b w:val="0"/>
                <w:bCs/>
                <w:spacing w:val="-3"/>
                <w:sz w:val="21"/>
                <w:highlight w:val="none"/>
              </w:rPr>
              <w:t>顺</w:t>
            </w:r>
            <w:r>
              <w:rPr>
                <w:rFonts w:hint="eastAsia" w:ascii="宋体" w:hAnsi="宋体"/>
                <w:b w:val="0"/>
                <w:bCs/>
                <w:sz w:val="21"/>
                <w:highlight w:val="none"/>
              </w:rPr>
              <w:t>序</w:t>
            </w:r>
            <w:r>
              <w:rPr>
                <w:rFonts w:hint="eastAsia" w:ascii="宋体" w:hAnsi="宋体"/>
                <w:b w:val="0"/>
                <w:bCs/>
                <w:spacing w:val="-3"/>
                <w:sz w:val="21"/>
                <w:highlight w:val="none"/>
              </w:rPr>
              <w:t>：</w:t>
            </w:r>
          </w:p>
          <w:p>
            <w:pPr>
              <w:pStyle w:val="230"/>
              <w:keepNext w:val="0"/>
              <w:keepLines w:val="0"/>
              <w:pageBreakBefore w:val="0"/>
              <w:numPr>
                <w:ilvl w:val="0"/>
                <w:numId w:val="2"/>
              </w:numPr>
              <w:kinsoku w:val="0"/>
              <w:wordWrap/>
              <w:overflowPunct w:val="0"/>
              <w:topLinePunct w:val="0"/>
              <w:autoSpaceDE/>
              <w:autoSpaceDN/>
              <w:bidi w:val="0"/>
              <w:adjustRightInd w:val="0"/>
              <w:snapToGrid w:val="0"/>
              <w:spacing w:line="480" w:lineRule="exact"/>
              <w:ind w:left="519"/>
              <w:jc w:val="both"/>
              <w:textAlignment w:val="auto"/>
              <w:rPr>
                <w:rFonts w:hint="eastAsia" w:ascii="宋体" w:hAnsi="宋体"/>
                <w:b w:val="0"/>
                <w:bCs/>
                <w:sz w:val="21"/>
                <w:highlight w:val="none"/>
              </w:rPr>
            </w:pPr>
            <w:r>
              <w:rPr>
                <w:rFonts w:hint="eastAsia" w:ascii="宋体" w:hAnsi="宋体"/>
                <w:b w:val="0"/>
                <w:bCs/>
                <w:spacing w:val="-3"/>
                <w:sz w:val="21"/>
                <w:highlight w:val="none"/>
              </w:rPr>
              <w:t>在</w:t>
            </w:r>
            <w:r>
              <w:rPr>
                <w:rFonts w:hint="eastAsia" w:ascii="宋体" w:hAnsi="宋体"/>
                <w:b w:val="0"/>
                <w:bCs/>
                <w:sz w:val="21"/>
                <w:highlight w:val="none"/>
              </w:rPr>
              <w:t>系</w:t>
            </w:r>
            <w:r>
              <w:rPr>
                <w:rFonts w:hint="eastAsia" w:ascii="宋体" w:hAnsi="宋体"/>
                <w:b w:val="0"/>
                <w:bCs/>
                <w:spacing w:val="-3"/>
                <w:sz w:val="21"/>
                <w:highlight w:val="none"/>
              </w:rPr>
              <w:t>统上</w:t>
            </w:r>
            <w:r>
              <w:rPr>
                <w:rFonts w:hint="eastAsia" w:ascii="宋体" w:hAnsi="宋体"/>
                <w:b w:val="0"/>
                <w:bCs/>
                <w:sz w:val="21"/>
                <w:highlight w:val="none"/>
              </w:rPr>
              <w:t>进行</w:t>
            </w:r>
            <w:r>
              <w:rPr>
                <w:rFonts w:hint="eastAsia" w:ascii="宋体" w:hAnsi="宋体"/>
                <w:b w:val="0"/>
                <w:bCs/>
                <w:spacing w:val="-3"/>
                <w:sz w:val="21"/>
                <w:highlight w:val="none"/>
              </w:rPr>
              <w:t>解</w:t>
            </w:r>
            <w:r>
              <w:rPr>
                <w:rFonts w:hint="eastAsia" w:ascii="宋体" w:hAnsi="宋体"/>
                <w:b w:val="0"/>
                <w:bCs/>
                <w:sz w:val="21"/>
                <w:highlight w:val="none"/>
              </w:rPr>
              <w:t>密</w:t>
            </w:r>
            <w:r>
              <w:rPr>
                <w:rFonts w:hint="eastAsia" w:ascii="宋体" w:hAnsi="宋体"/>
                <w:b w:val="0"/>
                <w:bCs/>
                <w:spacing w:val="-3"/>
                <w:sz w:val="21"/>
                <w:highlight w:val="none"/>
              </w:rPr>
              <w:t>。</w:t>
            </w:r>
          </w:p>
          <w:p>
            <w:pPr>
              <w:pStyle w:val="230"/>
              <w:keepNext w:val="0"/>
              <w:keepLines w:val="0"/>
              <w:pageBreakBefore w:val="0"/>
              <w:kinsoku w:val="0"/>
              <w:wordWrap/>
              <w:overflowPunct w:val="0"/>
              <w:topLinePunct w:val="0"/>
              <w:autoSpaceDE/>
              <w:autoSpaceDN/>
              <w:bidi w:val="0"/>
              <w:adjustRightInd w:val="0"/>
              <w:snapToGrid w:val="0"/>
              <w:spacing w:line="480" w:lineRule="exact"/>
              <w:ind w:left="519" w:leftChars="0"/>
              <w:jc w:val="both"/>
              <w:textAlignment w:val="auto"/>
              <w:rPr>
                <w:rFonts w:ascii="宋体" w:hAnsi="宋体"/>
                <w:b w:val="0"/>
                <w:bCs/>
                <w:kern w:val="0"/>
                <w:szCs w:val="21"/>
                <w:highlight w:val="none"/>
              </w:rPr>
            </w:pPr>
            <w:r>
              <w:rPr>
                <w:rFonts w:hint="eastAsia" w:ascii="宋体" w:hAnsi="宋体"/>
                <w:b w:val="0"/>
                <w:bCs/>
                <w:spacing w:val="-3"/>
                <w:sz w:val="21"/>
                <w:highlight w:val="none"/>
              </w:rPr>
              <w:t>（2）招标人代表</w:t>
            </w:r>
            <w:r>
              <w:rPr>
                <w:rFonts w:hint="eastAsia" w:ascii="宋体" w:hAnsi="宋体"/>
                <w:b w:val="0"/>
                <w:bCs/>
                <w:spacing w:val="-3"/>
                <w:sz w:val="21"/>
                <w:highlight w:val="none"/>
                <w:lang w:eastAsia="zh-CN"/>
              </w:rPr>
              <w:t>、市公共资源交易中心工作人员</w:t>
            </w:r>
            <w:r>
              <w:rPr>
                <w:rFonts w:hint="eastAsia" w:ascii="宋体" w:hAnsi="宋体"/>
                <w:b w:val="0"/>
                <w:bCs/>
                <w:spacing w:val="-3"/>
                <w:sz w:val="21"/>
                <w:highlight w:val="none"/>
              </w:rPr>
              <w:t>等有关人员在开标记录上签字确认。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lang w:eastAsia="zh-CN"/>
              </w:rPr>
              <w:t>资格审查</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hint="eastAsia" w:ascii="宋体" w:hAnsi="宋体" w:eastAsia="宋体"/>
                <w:b w:val="0"/>
                <w:bCs/>
                <w:kern w:val="0"/>
                <w:szCs w:val="21"/>
                <w:highlight w:val="none"/>
                <w:lang w:eastAsia="zh-CN"/>
              </w:rPr>
            </w:pPr>
            <w:r>
              <w:rPr>
                <w:rFonts w:hint="eastAsia" w:ascii="宋体" w:hAnsi="宋体"/>
                <w:b w:val="0"/>
                <w:bCs/>
                <w:spacing w:val="-3"/>
                <w:sz w:val="21"/>
                <w:highlight w:val="none"/>
                <w:lang w:eastAsia="zh-CN"/>
              </w:rPr>
              <w:t>招标人按招标文件要求审查投标人资格，并在</w:t>
            </w:r>
            <w:r>
              <w:rPr>
                <w:rFonts w:hint="eastAsia" w:ascii="宋体" w:hAnsi="宋体"/>
                <w:b w:val="0"/>
                <w:bCs/>
                <w:sz w:val="21"/>
                <w:highlight w:val="none"/>
              </w:rPr>
              <w:t>广</w:t>
            </w:r>
            <w:r>
              <w:rPr>
                <w:rFonts w:hint="eastAsia" w:ascii="宋体" w:hAnsi="宋体"/>
                <w:b w:val="0"/>
                <w:bCs/>
                <w:spacing w:val="-3"/>
                <w:sz w:val="21"/>
                <w:highlight w:val="none"/>
              </w:rPr>
              <w:t>东</w:t>
            </w:r>
            <w:r>
              <w:rPr>
                <w:rFonts w:hint="eastAsia" w:ascii="宋体" w:hAnsi="宋体"/>
                <w:b w:val="0"/>
                <w:bCs/>
                <w:sz w:val="21"/>
                <w:highlight w:val="none"/>
              </w:rPr>
              <w:t>省</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投</w:t>
            </w:r>
            <w:r>
              <w:rPr>
                <w:rFonts w:hint="eastAsia" w:ascii="宋体" w:hAnsi="宋体"/>
                <w:b w:val="0"/>
                <w:bCs/>
                <w:sz w:val="21"/>
                <w:highlight w:val="none"/>
              </w:rPr>
              <w:t>标监</w:t>
            </w:r>
            <w:r>
              <w:rPr>
                <w:rFonts w:hint="eastAsia" w:ascii="宋体" w:hAnsi="宋体"/>
                <w:b w:val="0"/>
                <w:bCs/>
                <w:spacing w:val="-3"/>
                <w:sz w:val="21"/>
                <w:highlight w:val="none"/>
              </w:rPr>
              <w:t>管</w:t>
            </w:r>
            <w:r>
              <w:rPr>
                <w:rFonts w:hint="eastAsia" w:ascii="宋体" w:hAnsi="宋体"/>
                <w:b w:val="0"/>
                <w:bCs/>
                <w:sz w:val="21"/>
                <w:highlight w:val="none"/>
              </w:rPr>
              <w:t>网</w:t>
            </w:r>
            <w:r>
              <w:rPr>
                <w:rFonts w:hint="eastAsia" w:ascii="宋体" w:hAnsi="宋体"/>
                <w:b w:val="0"/>
                <w:bCs/>
                <w:spacing w:val="-3"/>
                <w:sz w:val="21"/>
                <w:highlight w:val="none"/>
              </w:rPr>
              <w:t>、</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w:t>
            </w:r>
            <w:r>
              <w:rPr>
                <w:rFonts w:hint="eastAsia" w:ascii="宋体" w:hAnsi="宋体"/>
                <w:b w:val="0"/>
                <w:bCs/>
                <w:spacing w:val="-3"/>
                <w:sz w:val="21"/>
                <w:highlight w:val="none"/>
              </w:rPr>
              <w:t>资</w:t>
            </w:r>
            <w:r>
              <w:rPr>
                <w:rFonts w:hint="eastAsia" w:ascii="宋体" w:hAnsi="宋体"/>
                <w:b w:val="0"/>
                <w:bCs/>
                <w:sz w:val="21"/>
                <w:highlight w:val="none"/>
              </w:rPr>
              <w:t>源交</w:t>
            </w:r>
            <w:r>
              <w:rPr>
                <w:rFonts w:hint="eastAsia" w:ascii="宋体" w:hAnsi="宋体"/>
                <w:b w:val="0"/>
                <w:bCs/>
                <w:spacing w:val="-3"/>
                <w:sz w:val="21"/>
                <w:highlight w:val="none"/>
              </w:rPr>
              <w:t>易</w:t>
            </w:r>
            <w:r>
              <w:rPr>
                <w:rFonts w:hint="eastAsia" w:ascii="宋体" w:hAnsi="宋体"/>
                <w:b w:val="0"/>
                <w:bCs/>
                <w:sz w:val="21"/>
                <w:highlight w:val="none"/>
              </w:rPr>
              <w:t>网公示</w:t>
            </w:r>
            <w:r>
              <w:rPr>
                <w:rFonts w:hint="eastAsia" w:ascii="宋体" w:hAnsi="宋体"/>
                <w:b w:val="0"/>
                <w:bCs/>
                <w:sz w:val="21"/>
                <w:highlight w:val="none"/>
                <w:lang w:eastAsia="zh-CN"/>
              </w:rPr>
              <w:t>审查结果，</w:t>
            </w:r>
            <w:r>
              <w:rPr>
                <w:rFonts w:hint="eastAsia" w:ascii="宋体" w:hAnsi="宋体"/>
                <w:b w:val="0"/>
                <w:bCs/>
                <w:spacing w:val="-3"/>
                <w:sz w:val="21"/>
                <w:highlight w:val="none"/>
              </w:rPr>
              <w:t>期</w:t>
            </w:r>
            <w:r>
              <w:rPr>
                <w:rFonts w:hint="eastAsia" w:ascii="宋体" w:hAnsi="宋体"/>
                <w:b w:val="0"/>
                <w:bCs/>
                <w:sz w:val="21"/>
                <w:highlight w:val="none"/>
              </w:rPr>
              <w:t>限</w:t>
            </w:r>
            <w:r>
              <w:rPr>
                <w:rFonts w:hint="eastAsia" w:ascii="宋体" w:hAnsi="宋体"/>
                <w:b w:val="0"/>
                <w:bCs/>
                <w:spacing w:val="-3"/>
                <w:sz w:val="21"/>
                <w:highlight w:val="none"/>
              </w:rPr>
              <w:t>：</w:t>
            </w:r>
            <w:r>
              <w:rPr>
                <w:rFonts w:hint="eastAsia" w:ascii="宋体" w:hAnsi="宋体"/>
                <w:b w:val="0"/>
                <w:bCs/>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过多投标人淘汰</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环节（资格审查合格的投标人＞</w:t>
            </w:r>
            <w:r>
              <w:rPr>
                <w:rFonts w:ascii="Times New Roman" w:hAnsi="Times New Roman" w:eastAsia="宋体" w:cs="Courier New"/>
                <w:b w:val="0"/>
                <w:bCs/>
                <w:kern w:val="0"/>
                <w:szCs w:val="21"/>
                <w:highlight w:val="none"/>
              </w:rPr>
              <w:t>20名）</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hint="eastAsia" w:ascii="宋体" w:hAnsi="宋体"/>
                <w:b w:val="0"/>
                <w:bCs/>
                <w:sz w:val="21"/>
                <w:highlight w:val="none"/>
              </w:rPr>
            </w:pPr>
            <w:r>
              <w:rPr>
                <w:rFonts w:hint="eastAsia" w:ascii="宋体" w:hAnsi="宋体"/>
                <w:b w:val="0"/>
                <w:bCs/>
                <w:sz w:val="21"/>
                <w:highlight w:val="none"/>
              </w:rPr>
              <w:t>资格审查合格的投标人＞20名时，经淘汰进入后续招标程序的投标人为15至20名，具体数量产生方式为：</w:t>
            </w:r>
          </w:p>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hint="eastAsia" w:ascii="宋体" w:hAnsi="宋体"/>
                <w:b w:val="0"/>
                <w:bCs/>
                <w:sz w:val="21"/>
                <w:highlight w:val="none"/>
              </w:rPr>
            </w:pPr>
            <w:r>
              <w:rPr>
                <w:rFonts w:hint="eastAsia" w:ascii="宋体" w:hAnsi="宋体"/>
                <w:b w:val="0"/>
                <w:bCs/>
                <w:sz w:val="21"/>
                <w:highlight w:val="none"/>
              </w:rPr>
              <w:sym w:font="Wingdings 2" w:char="00A3"/>
            </w:r>
            <w:r>
              <w:rPr>
                <w:rFonts w:hint="eastAsia" w:ascii="宋体" w:hAnsi="宋体"/>
                <w:b w:val="0"/>
                <w:bCs/>
                <w:sz w:val="21"/>
                <w:highlight w:val="none"/>
              </w:rPr>
              <w:t>由计算机随机产生</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招标人自行确定：</w:t>
            </w:r>
            <w:r>
              <w:rPr>
                <w:rFonts w:ascii="Times New Roman" w:hAnsi="Times New Roman" w:eastAsia="宋体" w:cs="Courier New"/>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Merge w:val="continue"/>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6581" w:type="dxa"/>
            <w:vAlign w:val="center"/>
          </w:tcPr>
          <w:p>
            <w:pPr>
              <w:keepNext w:val="0"/>
              <w:keepLines w:val="0"/>
              <w:pageBreakBefore w:val="0"/>
              <w:wordWrap/>
              <w:topLinePunct w:val="0"/>
              <w:autoSpaceDE/>
              <w:autoSpaceDN/>
              <w:bidi w:val="0"/>
              <w:adjustRightInd w:val="0"/>
              <w:snapToGrid w:val="0"/>
              <w:spacing w:line="480" w:lineRule="exact"/>
              <w:ind w:left="0" w:leftChars="0" w:firstLine="0" w:firstLineChars="0"/>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过多投标人淘汰方式：</w:t>
            </w:r>
          </w:p>
          <w:p>
            <w:pPr>
              <w:keepNext w:val="0"/>
              <w:keepLines w:val="0"/>
              <w:pageBreakBefore w:val="0"/>
              <w:wordWrap/>
              <w:topLinePunct w:val="0"/>
              <w:autoSpaceDE/>
              <w:autoSpaceDN/>
              <w:bidi w:val="0"/>
              <w:adjustRightInd w:val="0"/>
              <w:snapToGrid w:val="0"/>
              <w:spacing w:line="480" w:lineRule="exact"/>
              <w:ind w:left="0" w:leftChars="0" w:firstLine="0" w:firstLineChars="0"/>
              <w:jc w:val="both"/>
              <w:textAlignment w:val="auto"/>
              <w:rPr>
                <w:rFonts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直接票决</w:t>
            </w:r>
            <w:r>
              <w:rPr>
                <w:rFonts w:ascii="Times New Roman" w:hAnsi="Times New Roman" w:eastAsia="宋体" w:cs="Courier New"/>
                <w:b w:val="0"/>
                <w:bCs/>
                <w:kern w:val="0"/>
                <w:szCs w:val="21"/>
                <w:highlight w:val="none"/>
              </w:rPr>
              <w:t xml:space="preserve">  </w:t>
            </w:r>
            <w:r>
              <w:rPr>
                <w:rFonts w:ascii="Times New Roman" w:hAnsi="Times New Roman" w:eastAsia="宋体" w:cs="Courier New"/>
                <w:b w:val="0"/>
                <w:bCs/>
                <w:kern w:val="0"/>
                <w:szCs w:val="21"/>
                <w:highlight w:val="none"/>
              </w:rPr>
              <w:sym w:font="Wingdings 2" w:char="00A3"/>
            </w:r>
            <w:r>
              <w:rPr>
                <w:rFonts w:ascii="Times New Roman" w:hAnsi="Times New Roman" w:eastAsia="宋体" w:cs="Courier New"/>
                <w:b w:val="0"/>
                <w:bCs/>
                <w:kern w:val="0"/>
                <w:szCs w:val="21"/>
                <w:highlight w:val="none"/>
              </w:rPr>
              <w:t xml:space="preserve">逐轮票决  </w:t>
            </w:r>
            <w:r>
              <w:rPr>
                <w:rFonts w:ascii="Times New Roman" w:hAnsi="Times New Roman" w:eastAsia="宋体" w:cs="Courier New"/>
                <w:b w:val="0"/>
                <w:bCs/>
                <w:kern w:val="0"/>
                <w:szCs w:val="21"/>
                <w:highlight w:val="none"/>
              </w:rPr>
              <w:sym w:font="Wingdings 2" w:char="00A3"/>
            </w:r>
            <w:r>
              <w:rPr>
                <w:rFonts w:ascii="Times New Roman" w:hAnsi="Times New Roman" w:eastAsia="宋体" w:cs="Courier New"/>
                <w:b w:val="0"/>
                <w:bCs/>
                <w:kern w:val="0"/>
                <w:szCs w:val="21"/>
                <w:highlight w:val="none"/>
              </w:rPr>
              <w:t>逐轮淘汰</w:t>
            </w:r>
          </w:p>
          <w:p>
            <w:pPr>
              <w:keepNext w:val="0"/>
              <w:keepLines w:val="0"/>
              <w:pageBreakBefore w:val="0"/>
              <w:wordWrap/>
              <w:topLinePunct w:val="0"/>
              <w:autoSpaceDE/>
              <w:autoSpaceDN/>
              <w:bidi w:val="0"/>
              <w:adjustRightInd w:val="0"/>
              <w:snapToGrid w:val="0"/>
              <w:spacing w:line="480" w:lineRule="exact"/>
              <w:ind w:left="0" w:leftChars="0" w:firstLine="630" w:firstLineChars="300"/>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计算规则（采用直接票决或逐轮票决的）：</w:t>
            </w:r>
          </w:p>
          <w:p>
            <w:pPr>
              <w:keepNext w:val="0"/>
              <w:keepLines w:val="0"/>
              <w:pageBreakBefore w:val="0"/>
              <w:wordWrap/>
              <w:topLinePunct w:val="0"/>
              <w:autoSpaceDE/>
              <w:autoSpaceDN/>
              <w:bidi w:val="0"/>
              <w:adjustRightInd w:val="0"/>
              <w:snapToGrid w:val="0"/>
              <w:spacing w:line="480" w:lineRule="exact"/>
              <w:ind w:left="0" w:leftChars="0" w:firstLine="630" w:firstLineChars="300"/>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简单多数。当被淘汰最后一名有并列情况以至超过应淘汰投标人数时，对此并列的投标人采取如下确定方式：</w:t>
            </w:r>
          </w:p>
          <w:p>
            <w:pPr>
              <w:keepNext w:val="0"/>
              <w:keepLines w:val="0"/>
              <w:pageBreakBefore w:val="0"/>
              <w:wordWrap/>
              <w:topLinePunct w:val="0"/>
              <w:autoSpaceDE/>
              <w:autoSpaceDN/>
              <w:bidi w:val="0"/>
              <w:adjustRightInd w:val="0"/>
              <w:snapToGrid w:val="0"/>
              <w:spacing w:line="480" w:lineRule="exact"/>
              <w:ind w:left="0" w:leftChars="0" w:firstLine="1050" w:firstLineChars="500"/>
              <w:jc w:val="both"/>
              <w:textAlignment w:val="auto"/>
              <w:rPr>
                <w:rFonts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递交投标文件时间靠前者入围</w:t>
            </w:r>
          </w:p>
          <w:p>
            <w:pPr>
              <w:keepNext w:val="0"/>
              <w:keepLines w:val="0"/>
              <w:pageBreakBefore w:val="0"/>
              <w:wordWrap/>
              <w:topLinePunct w:val="0"/>
              <w:autoSpaceDE/>
              <w:autoSpaceDN/>
              <w:bidi w:val="0"/>
              <w:adjustRightInd w:val="0"/>
              <w:snapToGrid w:val="0"/>
              <w:spacing w:line="480" w:lineRule="exact"/>
              <w:ind w:left="0" w:leftChars="0" w:firstLine="1050" w:firstLineChars="500"/>
              <w:jc w:val="both"/>
              <w:textAlignment w:val="auto"/>
              <w:rPr>
                <w:rFonts w:hint="eastAsia"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继续票决</w:t>
            </w:r>
          </w:p>
          <w:p>
            <w:pPr>
              <w:keepNext w:val="0"/>
              <w:keepLines w:val="0"/>
              <w:pageBreakBefore w:val="0"/>
              <w:wordWrap/>
              <w:topLinePunct w:val="0"/>
              <w:autoSpaceDE/>
              <w:autoSpaceDN/>
              <w:bidi w:val="0"/>
              <w:adjustRightInd w:val="0"/>
              <w:snapToGrid w:val="0"/>
              <w:spacing w:line="480" w:lineRule="exact"/>
              <w:ind w:firstLine="1050" w:firstLineChars="500"/>
              <w:jc w:val="both"/>
              <w:textAlignment w:val="auto"/>
              <w:rPr>
                <w:rFonts w:hint="default" w:eastAsia="宋体"/>
                <w:b w:val="0"/>
                <w:bCs/>
                <w:highlight w:val="none"/>
                <w:lang w:val="en-US" w:eastAsia="zh-CN"/>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继续票决</w:t>
            </w:r>
            <w:r>
              <w:rPr>
                <w:rFonts w:hint="eastAsia" w:ascii="Times New Roman" w:hAnsi="Times New Roman" w:eastAsia="宋体" w:cs="Courier New"/>
                <w:b w:val="0"/>
                <w:bCs/>
                <w:kern w:val="0"/>
                <w:szCs w:val="21"/>
                <w:highlight w:val="none"/>
                <w:lang w:eastAsia="zh-CN"/>
              </w:rPr>
              <w:t>，再同票则随机抽签</w:t>
            </w:r>
          </w:p>
          <w:p>
            <w:pPr>
              <w:keepNext w:val="0"/>
              <w:keepLines w:val="0"/>
              <w:pageBreakBefore w:val="0"/>
              <w:wordWrap/>
              <w:topLinePunct w:val="0"/>
              <w:autoSpaceDE/>
              <w:autoSpaceDN/>
              <w:bidi w:val="0"/>
              <w:adjustRightInd w:val="0"/>
              <w:snapToGrid w:val="0"/>
              <w:spacing w:line="480" w:lineRule="exact"/>
              <w:ind w:left="0" w:leftChars="0" w:firstLine="630" w:firstLineChars="300"/>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Merge w:val="continue"/>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本项目不进行过多投标人淘汰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评标委员会</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的人员组成</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评标方法及标准</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lang w:val="en-US" w:eastAsia="zh-CN"/>
              </w:rPr>
              <w:t>定性评审法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定标方法</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票决定标（□直接票决定标 □逐轮票决定标）。</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集体议事法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before="25" w:line="480" w:lineRule="exact"/>
              <w:ind w:right="8" w:rightChars="0"/>
              <w:jc w:val="both"/>
              <w:textAlignment w:val="auto"/>
              <w:rPr>
                <w:rFonts w:ascii="宋体" w:hAnsi="宋体"/>
                <w:b w:val="0"/>
                <w:bCs/>
                <w:kern w:val="0"/>
                <w:szCs w:val="21"/>
                <w:highlight w:val="none"/>
              </w:rPr>
            </w:pPr>
            <w:r>
              <w:rPr>
                <w:rFonts w:hint="eastAsia" w:cs="Times New Roman"/>
                <w:b w:val="0"/>
                <w:bCs/>
                <w:kern w:val="2"/>
                <w:sz w:val="24"/>
                <w:szCs w:val="22"/>
                <w:highlight w:val="none"/>
                <w:lang w:val="en-US" w:eastAsia="zh-CN" w:bidi="ar-SA"/>
              </w:rPr>
              <w:t>定标结果公示</w:t>
            </w:r>
          </w:p>
        </w:tc>
        <w:tc>
          <w:tcPr>
            <w:tcW w:w="6581" w:type="dxa"/>
            <w:vAlign w:val="center"/>
          </w:tcPr>
          <w:p>
            <w:pPr>
              <w:pStyle w:val="230"/>
              <w:keepNext w:val="0"/>
              <w:keepLines w:val="0"/>
              <w:pageBreakBefore w:val="0"/>
              <w:kinsoku w:val="0"/>
              <w:wordWrap/>
              <w:overflowPunct w:val="0"/>
              <w:topLinePunct w:val="0"/>
              <w:autoSpaceDE/>
              <w:autoSpaceDN/>
              <w:bidi w:val="0"/>
              <w:adjustRightInd w:val="0"/>
              <w:snapToGrid w:val="0"/>
              <w:spacing w:before="25" w:line="480" w:lineRule="exact"/>
              <w:ind w:firstLine="420" w:firstLineChars="200"/>
              <w:jc w:val="both"/>
              <w:textAlignment w:val="auto"/>
              <w:rPr>
                <w:rFonts w:hint="eastAsia" w:ascii="宋体" w:hAnsi="宋体" w:eastAsia="宋体"/>
                <w:b w:val="0"/>
                <w:bCs/>
                <w:kern w:val="0"/>
                <w:szCs w:val="21"/>
                <w:highlight w:val="none"/>
                <w:lang w:eastAsia="zh-CN"/>
              </w:rPr>
            </w:pPr>
            <w:r>
              <w:rPr>
                <w:rFonts w:hint="eastAsia" w:ascii="宋体" w:hAnsi="宋体"/>
                <w:b w:val="0"/>
                <w:bCs/>
                <w:sz w:val="21"/>
                <w:highlight w:val="none"/>
              </w:rPr>
              <w:t>公示</w:t>
            </w:r>
            <w:r>
              <w:rPr>
                <w:rFonts w:hint="eastAsia" w:ascii="宋体" w:hAnsi="宋体"/>
                <w:b w:val="0"/>
                <w:bCs/>
                <w:spacing w:val="-3"/>
                <w:sz w:val="21"/>
                <w:highlight w:val="none"/>
              </w:rPr>
              <w:t>媒</w:t>
            </w:r>
            <w:r>
              <w:rPr>
                <w:rFonts w:hint="eastAsia" w:ascii="宋体" w:hAnsi="宋体"/>
                <w:b w:val="0"/>
                <w:bCs/>
                <w:sz w:val="21"/>
                <w:highlight w:val="none"/>
              </w:rPr>
              <w:t>介</w:t>
            </w:r>
            <w:r>
              <w:rPr>
                <w:rFonts w:hint="eastAsia" w:ascii="宋体" w:hAnsi="宋体"/>
                <w:b w:val="0"/>
                <w:bCs/>
                <w:spacing w:val="-3"/>
                <w:sz w:val="21"/>
                <w:highlight w:val="none"/>
              </w:rPr>
              <w:t>：</w:t>
            </w:r>
            <w:r>
              <w:rPr>
                <w:rFonts w:hint="eastAsia" w:ascii="宋体" w:hAnsi="宋体"/>
                <w:b w:val="0"/>
                <w:bCs/>
                <w:sz w:val="21"/>
                <w:highlight w:val="none"/>
              </w:rPr>
              <w:t>广</w:t>
            </w:r>
            <w:r>
              <w:rPr>
                <w:rFonts w:hint="eastAsia" w:ascii="宋体" w:hAnsi="宋体"/>
                <w:b w:val="0"/>
                <w:bCs/>
                <w:spacing w:val="-3"/>
                <w:sz w:val="21"/>
                <w:highlight w:val="none"/>
              </w:rPr>
              <w:t>东</w:t>
            </w:r>
            <w:r>
              <w:rPr>
                <w:rFonts w:hint="eastAsia" w:ascii="宋体" w:hAnsi="宋体"/>
                <w:b w:val="0"/>
                <w:bCs/>
                <w:sz w:val="21"/>
                <w:highlight w:val="none"/>
              </w:rPr>
              <w:t>省</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投</w:t>
            </w:r>
            <w:r>
              <w:rPr>
                <w:rFonts w:hint="eastAsia" w:ascii="宋体" w:hAnsi="宋体"/>
                <w:b w:val="0"/>
                <w:bCs/>
                <w:sz w:val="21"/>
                <w:highlight w:val="none"/>
              </w:rPr>
              <w:t>标监</w:t>
            </w:r>
            <w:r>
              <w:rPr>
                <w:rFonts w:hint="eastAsia" w:ascii="宋体" w:hAnsi="宋体"/>
                <w:b w:val="0"/>
                <w:bCs/>
                <w:spacing w:val="-3"/>
                <w:sz w:val="21"/>
                <w:highlight w:val="none"/>
              </w:rPr>
              <w:t>管</w:t>
            </w:r>
            <w:r>
              <w:rPr>
                <w:rFonts w:hint="eastAsia" w:ascii="宋体" w:hAnsi="宋体"/>
                <w:b w:val="0"/>
                <w:bCs/>
                <w:sz w:val="21"/>
                <w:highlight w:val="none"/>
              </w:rPr>
              <w:t>网</w:t>
            </w:r>
            <w:r>
              <w:rPr>
                <w:rFonts w:hint="eastAsia" w:ascii="宋体" w:hAnsi="宋体"/>
                <w:b w:val="0"/>
                <w:bCs/>
                <w:spacing w:val="-3"/>
                <w:sz w:val="21"/>
                <w:highlight w:val="none"/>
              </w:rPr>
              <w:t>、</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w:t>
            </w:r>
            <w:r>
              <w:rPr>
                <w:rFonts w:hint="eastAsia" w:ascii="宋体" w:hAnsi="宋体"/>
                <w:b w:val="0"/>
                <w:bCs/>
                <w:spacing w:val="-3"/>
                <w:sz w:val="21"/>
                <w:highlight w:val="none"/>
              </w:rPr>
              <w:t>资</w:t>
            </w:r>
            <w:r>
              <w:rPr>
                <w:rFonts w:hint="eastAsia" w:ascii="宋体" w:hAnsi="宋体"/>
                <w:b w:val="0"/>
                <w:bCs/>
                <w:sz w:val="21"/>
                <w:highlight w:val="none"/>
              </w:rPr>
              <w:t>源交</w:t>
            </w:r>
            <w:r>
              <w:rPr>
                <w:rFonts w:hint="eastAsia" w:ascii="宋体" w:hAnsi="宋体"/>
                <w:b w:val="0"/>
                <w:bCs/>
                <w:spacing w:val="-3"/>
                <w:sz w:val="21"/>
                <w:highlight w:val="none"/>
              </w:rPr>
              <w:t>易</w:t>
            </w:r>
            <w:r>
              <w:rPr>
                <w:rFonts w:hint="eastAsia" w:ascii="宋体" w:hAnsi="宋体"/>
                <w:b w:val="0"/>
                <w:bCs/>
                <w:sz w:val="21"/>
                <w:highlight w:val="none"/>
              </w:rPr>
              <w:t>网公示</w:t>
            </w:r>
            <w:r>
              <w:rPr>
                <w:rFonts w:hint="eastAsia" w:ascii="宋体" w:hAnsi="宋体"/>
                <w:b w:val="0"/>
                <w:bCs/>
                <w:spacing w:val="-3"/>
                <w:sz w:val="21"/>
                <w:highlight w:val="none"/>
              </w:rPr>
              <w:t>期</w:t>
            </w:r>
            <w:r>
              <w:rPr>
                <w:rFonts w:hint="eastAsia" w:ascii="宋体" w:hAnsi="宋体"/>
                <w:b w:val="0"/>
                <w:bCs/>
                <w:sz w:val="21"/>
                <w:highlight w:val="none"/>
              </w:rPr>
              <w:t>限</w:t>
            </w:r>
            <w:r>
              <w:rPr>
                <w:rFonts w:hint="eastAsia" w:ascii="宋体" w:hAnsi="宋体"/>
                <w:b w:val="0"/>
                <w:bCs/>
                <w:spacing w:val="-3"/>
                <w:sz w:val="21"/>
                <w:highlight w:val="none"/>
              </w:rPr>
              <w:t>：</w:t>
            </w:r>
            <w:r>
              <w:rPr>
                <w:rFonts w:hint="eastAsia" w:ascii="宋体" w:hAnsi="宋体"/>
                <w:b w:val="0"/>
                <w:bCs/>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履约担保</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金额：</w:t>
            </w:r>
            <w:r>
              <w:rPr>
                <w:rFonts w:hint="eastAsia" w:ascii="Times New Roman" w:hAnsi="Times New Roman" w:eastAsia="宋体" w:cs="Courier New"/>
                <w:b w:val="0"/>
                <w:bCs/>
                <w:kern w:val="0"/>
                <w:szCs w:val="21"/>
                <w:highlight w:val="none"/>
                <w:u w:val="single"/>
              </w:rPr>
              <w:t xml:space="preserve">      </w:t>
            </w:r>
          </w:p>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担保形式：</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由□银行</w:t>
            </w:r>
            <w:r>
              <w:rPr>
                <w:rFonts w:ascii="Times New Roman" w:hAnsi="Times New Roman" w:eastAsia="宋体" w:cs="Courier New"/>
                <w:b w:val="0"/>
                <w:bCs/>
                <w:kern w:val="0"/>
                <w:szCs w:val="21"/>
                <w:highlight w:val="none"/>
              </w:rPr>
              <w:t xml:space="preserve"> </w:t>
            </w:r>
            <w:r>
              <w:rPr>
                <w:rFonts w:hint="eastAsia" w:ascii="Times New Roman" w:hAnsi="Times New Roman" w:eastAsia="宋体" w:cs="Courier New"/>
                <w:b w:val="0"/>
                <w:bCs/>
                <w:kern w:val="0"/>
                <w:szCs w:val="21"/>
                <w:highlight w:val="none"/>
              </w:rPr>
              <w:sym w:font="Wingdings 2" w:char="00A3"/>
            </w:r>
            <w:r>
              <w:rPr>
                <w:rFonts w:ascii="Times New Roman" w:hAnsi="Times New Roman" w:eastAsia="宋体" w:cs="Courier New"/>
                <w:b w:val="0"/>
                <w:bCs/>
                <w:kern w:val="0"/>
                <w:szCs w:val="21"/>
                <w:highlight w:val="none"/>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支付担保</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金额：</w:t>
            </w:r>
            <w:r>
              <w:rPr>
                <w:rFonts w:hint="eastAsia" w:ascii="Times New Roman" w:hAnsi="Times New Roman" w:eastAsia="宋体" w:cs="Courier New"/>
                <w:b w:val="0"/>
                <w:bCs/>
                <w:kern w:val="0"/>
                <w:szCs w:val="21"/>
                <w:highlight w:val="none"/>
                <w:u w:val="single"/>
              </w:rPr>
              <w:t xml:space="preserve">      </w:t>
            </w:r>
          </w:p>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担保形式：</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由□银行</w:t>
            </w:r>
            <w:r>
              <w:rPr>
                <w:rFonts w:ascii="Times New Roman" w:hAnsi="Times New Roman" w:eastAsia="宋体" w:cs="Courier New"/>
                <w:b w:val="0"/>
                <w:bCs/>
                <w:kern w:val="0"/>
                <w:szCs w:val="21"/>
                <w:highlight w:val="none"/>
              </w:rPr>
              <w:t xml:space="preserve"> </w:t>
            </w:r>
            <w:r>
              <w:rPr>
                <w:rFonts w:hint="eastAsia" w:ascii="Times New Roman" w:hAnsi="Times New Roman" w:eastAsia="宋体" w:cs="Courier New"/>
                <w:b w:val="0"/>
                <w:bCs/>
                <w:kern w:val="0"/>
                <w:szCs w:val="21"/>
                <w:highlight w:val="none"/>
              </w:rPr>
              <w:t>□</w:t>
            </w:r>
            <w:r>
              <w:rPr>
                <w:rFonts w:ascii="Times New Roman" w:hAnsi="Times New Roman" w:eastAsia="宋体" w:cs="Courier New"/>
                <w:b w:val="0"/>
                <w:bCs/>
                <w:kern w:val="0"/>
                <w:szCs w:val="21"/>
                <w:highlight w:val="none"/>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8"/>
              <w:jc w:val="both"/>
              <w:textAlignment w:val="auto"/>
              <w:rPr>
                <w:rFonts w:hint="eastAsia" w:ascii="宋体" w:hAnsi="宋体"/>
                <w:b w:val="0"/>
                <w:bCs/>
                <w:spacing w:val="-3"/>
                <w:sz w:val="21"/>
                <w:highlight w:val="none"/>
              </w:rPr>
            </w:pPr>
            <w:r>
              <w:rPr>
                <w:rFonts w:hint="eastAsia" w:ascii="宋体" w:hAnsi="宋体"/>
                <w:b w:val="0"/>
                <w:bCs/>
                <w:spacing w:val="-3"/>
                <w:sz w:val="21"/>
                <w:highlight w:val="none"/>
              </w:rPr>
              <w:t>发出中标通知书及</w:t>
            </w:r>
          </w:p>
          <w:p>
            <w:pPr>
              <w:pStyle w:val="230"/>
              <w:keepNext w:val="0"/>
              <w:keepLines w:val="0"/>
              <w:pageBreakBefore w:val="0"/>
              <w:kinsoku w:val="0"/>
              <w:wordWrap/>
              <w:overflowPunct w:val="0"/>
              <w:topLinePunct w:val="0"/>
              <w:autoSpaceDE/>
              <w:autoSpaceDN/>
              <w:bidi w:val="0"/>
              <w:adjustRightInd w:val="0"/>
              <w:snapToGrid w:val="0"/>
              <w:spacing w:line="480" w:lineRule="exact"/>
              <w:ind w:right="8" w:rightChars="0"/>
              <w:jc w:val="both"/>
              <w:textAlignment w:val="auto"/>
              <w:rPr>
                <w:rFonts w:ascii="宋体" w:hAnsi="宋体"/>
                <w:b w:val="0"/>
                <w:bCs/>
                <w:kern w:val="0"/>
                <w:szCs w:val="21"/>
                <w:highlight w:val="none"/>
              </w:rPr>
            </w:pPr>
            <w:r>
              <w:rPr>
                <w:rFonts w:hint="eastAsia" w:ascii="宋体" w:hAnsi="宋体"/>
                <w:b w:val="0"/>
                <w:bCs/>
                <w:spacing w:val="-3"/>
                <w:sz w:val="21"/>
                <w:highlight w:val="none"/>
              </w:rPr>
              <w:t>签订合同</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lang w:val="en-US" w:eastAsia="zh-CN"/>
              </w:rPr>
              <w:t>定</w:t>
            </w:r>
            <w:r>
              <w:rPr>
                <w:rFonts w:hint="eastAsia" w:ascii="Times New Roman" w:hAnsi="Times New Roman" w:eastAsia="宋体" w:cs="Courier New"/>
                <w:b w:val="0"/>
                <w:bCs/>
                <w:kern w:val="0"/>
                <w:szCs w:val="21"/>
                <w:highlight w:val="none"/>
              </w:rPr>
              <w:t>标结果公示期满后</w:t>
            </w:r>
            <w:r>
              <w:rPr>
                <w:rFonts w:ascii="Times New Roman" w:hAnsi="Times New Roman" w:eastAsia="宋体" w:cs="Courier New"/>
                <w:b w:val="0"/>
                <w:bCs/>
                <w:kern w:val="0"/>
                <w:szCs w:val="21"/>
                <w:highlight w:val="none"/>
              </w:rPr>
              <w:t>30日内（因投诉暂停的除外）。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8"/>
              <w:jc w:val="both"/>
              <w:textAlignment w:val="auto"/>
              <w:rPr>
                <w:rFonts w:hint="eastAsia" w:ascii="宋体" w:hAnsi="宋体"/>
                <w:b w:val="0"/>
                <w:bCs/>
                <w:spacing w:val="-3"/>
                <w:sz w:val="21"/>
                <w:highlight w:val="none"/>
              </w:rPr>
            </w:pPr>
            <w:r>
              <w:rPr>
                <w:rFonts w:hint="eastAsia" w:ascii="宋体" w:hAnsi="宋体"/>
                <w:b w:val="0"/>
                <w:bCs/>
                <w:sz w:val="21"/>
                <w:highlight w:val="none"/>
              </w:rPr>
              <w:t>需要</w:t>
            </w:r>
            <w:r>
              <w:rPr>
                <w:rFonts w:hint="eastAsia" w:ascii="宋体" w:hAnsi="宋体"/>
                <w:b w:val="0"/>
                <w:bCs/>
                <w:spacing w:val="-3"/>
                <w:sz w:val="21"/>
                <w:highlight w:val="none"/>
              </w:rPr>
              <w:t>补</w:t>
            </w:r>
            <w:r>
              <w:rPr>
                <w:rFonts w:hint="eastAsia" w:ascii="宋体" w:hAnsi="宋体"/>
                <w:b w:val="0"/>
                <w:bCs/>
                <w:sz w:val="21"/>
                <w:highlight w:val="none"/>
              </w:rPr>
              <w:t>充</w:t>
            </w:r>
            <w:r>
              <w:rPr>
                <w:rFonts w:hint="eastAsia" w:ascii="宋体" w:hAnsi="宋体"/>
                <w:b w:val="0"/>
                <w:bCs/>
                <w:spacing w:val="-3"/>
                <w:sz w:val="21"/>
                <w:highlight w:val="none"/>
              </w:rPr>
              <w:t>的</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kern w:val="0"/>
                <w:szCs w:val="21"/>
                <w:highlight w:val="none"/>
              </w:rPr>
              <w:t>其他内容</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lang w:val="en-US" w:eastAsia="zh-CN"/>
              </w:rPr>
              <w:t>1</w:t>
            </w:r>
            <w:r>
              <w:rPr>
                <w:rFonts w:hint="eastAsia" w:ascii="Times New Roman" w:hAnsi="Times New Roman" w:eastAsia="宋体" w:cs="Courier New"/>
                <w:b w:val="0"/>
                <w:bCs/>
                <w:kern w:val="0"/>
                <w:szCs w:val="21"/>
                <w:highlight w:val="none"/>
              </w:rPr>
              <w:t>.投标人应在投标文件的首页签署《诚信投标承诺书》（见投标文件格式），承诺书应由投标人的法定代表人签字并加盖单位公章。</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lang w:val="en-US" w:eastAsia="zh-CN"/>
              </w:rPr>
              <w:t>2</w:t>
            </w:r>
            <w:r>
              <w:rPr>
                <w:rFonts w:hint="eastAsia" w:ascii="Times New Roman" w:hAnsi="Times New Roman" w:eastAsia="宋体" w:cs="Courier New"/>
                <w:b w:val="0"/>
                <w:bCs/>
                <w:kern w:val="0"/>
                <w:szCs w:val="21"/>
                <w:highlight w:val="none"/>
              </w:rPr>
              <w:t>.本项目</w:t>
            </w:r>
            <w:r>
              <w:rPr>
                <w:rFonts w:hint="eastAsia" w:ascii="Times New Roman" w:hAnsi="Times New Roman" w:eastAsia="宋体" w:cs="Courier New"/>
                <w:kern w:val="0"/>
                <w:szCs w:val="21"/>
                <w:highlight w:val="none"/>
              </w:rPr>
              <w:t>完全采用电子招投标，投标人无需到现场参加开标和递交纸质版投标文件。投标人的法定代表人或法定代表人授权的代表的联系电话需确保开标当天保持畅通</w:t>
            </w:r>
            <w:r>
              <w:rPr>
                <w:rFonts w:hint="eastAsia" w:ascii="Times New Roman" w:hAnsi="Times New Roman" w:eastAsia="宋体" w:cs="Courier New"/>
                <w:kern w:val="0"/>
                <w:szCs w:val="21"/>
                <w:highlight w:val="none"/>
                <w:lang w:eastAsia="zh-CN"/>
              </w:rPr>
              <w:t>并关注网上开标过程</w:t>
            </w:r>
            <w:r>
              <w:rPr>
                <w:rFonts w:hint="eastAsia" w:ascii="Times New Roman" w:hAnsi="Times New Roman" w:eastAsia="宋体" w:cs="Courier New"/>
                <w:kern w:val="0"/>
                <w:szCs w:val="21"/>
                <w:highlight w:val="none"/>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评标过程如评标委员会对投标文件有需</w:t>
            </w:r>
            <w:r>
              <w:rPr>
                <w:rFonts w:hint="eastAsia" w:ascii="Times New Roman" w:hAnsi="Times New Roman" w:eastAsia="宋体" w:cs="Courier New"/>
                <w:kern w:val="0"/>
                <w:szCs w:val="21"/>
                <w:highlight w:val="none"/>
                <w:lang w:eastAsia="zh-CN"/>
              </w:rPr>
              <w:t>向</w:t>
            </w:r>
            <w:r>
              <w:rPr>
                <w:rFonts w:hint="eastAsia" w:ascii="Times New Roman" w:hAnsi="Times New Roman" w:eastAsia="宋体" w:cs="Courier New"/>
                <w:kern w:val="0"/>
                <w:szCs w:val="21"/>
                <w:highlight w:val="none"/>
              </w:rPr>
              <w:t>投标人</w:t>
            </w:r>
            <w:r>
              <w:rPr>
                <w:rFonts w:hint="eastAsia" w:ascii="Times New Roman" w:hAnsi="Times New Roman" w:eastAsia="宋体" w:cs="Courier New"/>
                <w:kern w:val="0"/>
                <w:szCs w:val="21"/>
                <w:highlight w:val="none"/>
                <w:lang w:eastAsia="zh-CN"/>
              </w:rPr>
              <w:t>核实的内容</w:t>
            </w:r>
            <w:r>
              <w:rPr>
                <w:rFonts w:hint="eastAsia" w:ascii="Times New Roman" w:hAnsi="Times New Roman" w:eastAsia="宋体" w:cs="Courier New"/>
                <w:kern w:val="0"/>
                <w:szCs w:val="21"/>
                <w:highlight w:val="none"/>
              </w:rPr>
              <w:t>将通过</w:t>
            </w:r>
            <w:r>
              <w:rPr>
                <w:rFonts w:hint="eastAsia" w:ascii="Times New Roman" w:hAnsi="Times New Roman" w:eastAsia="宋体" w:cs="Courier New"/>
                <w:kern w:val="0"/>
                <w:szCs w:val="21"/>
                <w:highlight w:val="none"/>
                <w:lang w:eastAsia="zh-CN"/>
              </w:rPr>
              <w:t>网上开标大厅提出</w:t>
            </w:r>
            <w:r>
              <w:rPr>
                <w:rFonts w:hint="eastAsia" w:ascii="Times New Roman" w:hAnsi="Times New Roman" w:eastAsia="宋体" w:cs="Courier New"/>
                <w:kern w:val="0"/>
                <w:szCs w:val="21"/>
                <w:highlight w:val="none"/>
              </w:rPr>
              <w:t>，如投标人无</w:t>
            </w:r>
            <w:r>
              <w:rPr>
                <w:rFonts w:hint="eastAsia" w:ascii="Times New Roman" w:hAnsi="Times New Roman" w:eastAsia="宋体" w:cs="Courier New"/>
                <w:kern w:val="0"/>
                <w:szCs w:val="21"/>
                <w:highlight w:val="none"/>
                <w:lang w:eastAsia="zh-CN"/>
              </w:rPr>
              <w:t>回应</w:t>
            </w:r>
            <w:r>
              <w:rPr>
                <w:rFonts w:hint="eastAsia" w:ascii="Times New Roman" w:hAnsi="Times New Roman" w:eastAsia="宋体" w:cs="Courier New"/>
                <w:kern w:val="0"/>
                <w:szCs w:val="21"/>
                <w:highlight w:val="none"/>
              </w:rPr>
              <w:t>，评标委员会将根据招标文件规定作出不利于投标人的判定，投标人不得因此提出任何异议</w:t>
            </w:r>
            <w:r>
              <w:rPr>
                <w:rFonts w:hint="eastAsia" w:ascii="Times New Roman" w:hAnsi="Times New Roman" w:eastAsia="宋体" w:cs="Courier New"/>
                <w:b w:val="0"/>
                <w:bCs/>
                <w:kern w:val="0"/>
                <w:szCs w:val="21"/>
                <w:highlight w:val="none"/>
              </w:rPr>
              <w:t>。</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lang w:val="en-US" w:eastAsia="zh-CN"/>
              </w:rPr>
              <w:t>3</w:t>
            </w:r>
            <w:r>
              <w:rPr>
                <w:rFonts w:hint="eastAsia" w:ascii="Times New Roman" w:hAnsi="Times New Roman" w:eastAsia="宋体" w:cs="Courier New"/>
                <w:b w:val="0"/>
                <w:bCs/>
                <w:kern w:val="0"/>
                <w:szCs w:val="21"/>
                <w:highlight w:val="none"/>
              </w:rPr>
              <w:t>.招标人和中标人应当在中标通知书发出之日起30日内，根据招标文件和中标人的投标文件订立书面合同。中标人无正当理由拒签合同，在签订合同时向招标人提出附加条件，招标人有权取消其中标资格，其投标保证金不予退还。</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lang w:val="en-US" w:eastAsia="zh-CN"/>
              </w:rPr>
              <w:t>4</w:t>
            </w:r>
            <w:r>
              <w:rPr>
                <w:rFonts w:hint="eastAsia" w:ascii="Times New Roman" w:hAnsi="Times New Roman" w:eastAsia="宋体" w:cs="Courier New"/>
                <w:b w:val="0"/>
                <w:bCs/>
                <w:kern w:val="0"/>
                <w:szCs w:val="21"/>
                <w:highlight w:val="none"/>
              </w:rPr>
              <w:t>. 签订合同前，中标人应提交履约保证金。</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履约保证金的形式：由中标人自主选择采用现金（或支票）、银行保函、或其他合法形式。</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采用银行保函时，出具保函的银行级别：投标人公司注册所在地的全国性国有商业银行或股份制商业银行的分支机构。</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lang w:val="en-US" w:eastAsia="zh-CN"/>
              </w:rPr>
              <w:t>5</w:t>
            </w:r>
            <w:r>
              <w:rPr>
                <w:rFonts w:hint="eastAsia" w:ascii="Times New Roman" w:hAnsi="Times New Roman" w:eastAsia="宋体" w:cs="Courier New"/>
                <w:b w:val="0"/>
                <w:bCs/>
                <w:kern w:val="0"/>
                <w:szCs w:val="21"/>
                <w:highlight w:val="none"/>
              </w:rPr>
              <w:t>.监督部门名称：地址：电话：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before="11" w:line="480" w:lineRule="exact"/>
              <w:ind w:right="291"/>
              <w:jc w:val="both"/>
              <w:textAlignment w:val="auto"/>
              <w:rPr>
                <w:rFonts w:hint="eastAsia" w:ascii="宋体" w:hAnsi="宋体"/>
                <w:b w:val="0"/>
                <w:bCs/>
                <w:sz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人</w:t>
            </w:r>
            <w:r>
              <w:rPr>
                <w:rFonts w:hint="eastAsia" w:ascii="宋体" w:hAnsi="宋体"/>
                <w:b w:val="0"/>
                <w:bCs/>
                <w:sz w:val="21"/>
                <w:highlight w:val="none"/>
              </w:rPr>
              <w:t>提</w:t>
            </w:r>
            <w:r>
              <w:rPr>
                <w:rFonts w:hint="eastAsia" w:ascii="宋体" w:hAnsi="宋体"/>
                <w:b w:val="0"/>
                <w:bCs/>
                <w:spacing w:val="-3"/>
                <w:sz w:val="21"/>
                <w:highlight w:val="none"/>
              </w:rPr>
              <w:t>供</w:t>
            </w:r>
            <w:r>
              <w:rPr>
                <w:rFonts w:hint="eastAsia" w:ascii="宋体" w:hAnsi="宋体"/>
                <w:b w:val="0"/>
                <w:bCs/>
                <w:sz w:val="21"/>
                <w:highlight w:val="none"/>
              </w:rPr>
              <w:t>的</w:t>
            </w:r>
          </w:p>
          <w:p>
            <w:pPr>
              <w:pStyle w:val="230"/>
              <w:keepNext w:val="0"/>
              <w:keepLines w:val="0"/>
              <w:pageBreakBefore w:val="0"/>
              <w:kinsoku w:val="0"/>
              <w:wordWrap/>
              <w:overflowPunct w:val="0"/>
              <w:topLinePunct w:val="0"/>
              <w:autoSpaceDE/>
              <w:autoSpaceDN/>
              <w:bidi w:val="0"/>
              <w:adjustRightInd w:val="0"/>
              <w:snapToGrid w:val="0"/>
              <w:spacing w:before="11" w:line="480" w:lineRule="exact"/>
              <w:ind w:right="291" w:rightChars="0"/>
              <w:jc w:val="both"/>
              <w:textAlignment w:val="auto"/>
              <w:rPr>
                <w:rFonts w:ascii="宋体" w:hAnsi="宋体"/>
                <w:b w:val="0"/>
                <w:bCs/>
                <w:kern w:val="0"/>
                <w:szCs w:val="21"/>
                <w:highlight w:val="none"/>
              </w:rPr>
            </w:pPr>
            <w:r>
              <w:rPr>
                <w:rFonts w:hint="eastAsia" w:ascii="宋体" w:hAnsi="宋体"/>
                <w:b w:val="0"/>
                <w:bCs/>
                <w:spacing w:val="-3"/>
                <w:sz w:val="21"/>
                <w:highlight w:val="none"/>
              </w:rPr>
              <w:t>原</w:t>
            </w:r>
            <w:r>
              <w:rPr>
                <w:rFonts w:hint="eastAsia" w:ascii="宋体" w:hAnsi="宋体"/>
                <w:b w:val="0"/>
                <w:bCs/>
                <w:sz w:val="21"/>
                <w:highlight w:val="none"/>
              </w:rPr>
              <w:t>始资料</w:t>
            </w:r>
          </w:p>
        </w:tc>
        <w:tc>
          <w:tcPr>
            <w:tcW w:w="6581"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ascii="宋体" w:hAnsi="宋体"/>
                <w:b w:val="0"/>
                <w:bCs/>
                <w:kern w:val="0"/>
                <w:szCs w:val="21"/>
                <w:highlight w:val="none"/>
              </w:rPr>
            </w:pPr>
          </w:p>
        </w:tc>
      </w:tr>
    </w:tbl>
    <w:p>
      <w:pPr>
        <w:widowControl/>
        <w:spacing w:line="20" w:lineRule="exact"/>
        <w:jc w:val="left"/>
        <w:rPr>
          <w:rFonts w:hint="eastAsia" w:ascii="黑体" w:hAnsi="黑体" w:eastAsia="黑体"/>
          <w:sz w:val="32"/>
          <w:szCs w:val="32"/>
          <w:highlight w:val="none"/>
        </w:rPr>
      </w:pPr>
      <w:bookmarkStart w:id="12" w:name="_Toc24081"/>
      <w:r>
        <w:rPr>
          <w:rFonts w:hint="eastAsia" w:ascii="黑体" w:hAnsi="黑体" w:eastAsia="黑体"/>
          <w:sz w:val="32"/>
          <w:szCs w:val="32"/>
          <w:highlight w:val="none"/>
        </w:rPr>
        <w:br w:type="page"/>
      </w:r>
      <w:bookmarkStart w:id="13" w:name="_Toc6655"/>
      <w:r>
        <w:rPr>
          <w:rFonts w:hint="eastAsia" w:ascii="宋体" w:hAnsi="宋体"/>
          <w:b/>
          <w:kern w:val="0"/>
          <w:highlight w:val="none"/>
        </w:rPr>
        <w:t>（</w:t>
      </w:r>
      <w:bookmarkEnd w:id="13"/>
    </w:p>
    <w:p>
      <w:pPr>
        <w:adjustRightInd w:val="0"/>
        <w:snapToGrid w:val="0"/>
        <w:spacing w:line="20" w:lineRule="exact"/>
        <w:rPr>
          <w:highlight w:val="none"/>
        </w:rPr>
      </w:pPr>
    </w:p>
    <w:p>
      <w:pPr>
        <w:adjustRightInd w:val="0"/>
        <w:snapToGrid w:val="0"/>
        <w:spacing w:line="20" w:lineRule="exact"/>
        <w:rPr>
          <w:rFonts w:hint="eastAsia" w:ascii="黑体" w:hAnsi="黑体" w:eastAsia="黑体"/>
          <w:sz w:val="32"/>
          <w:szCs w:val="32"/>
          <w:highlight w:val="none"/>
        </w:rPr>
      </w:pPr>
    </w:p>
    <w:p>
      <w:pPr>
        <w:adjustRightInd w:val="0"/>
        <w:snapToGrid w:val="0"/>
        <w:spacing w:line="360" w:lineRule="auto"/>
        <w:jc w:val="center"/>
        <w:rPr>
          <w:rFonts w:ascii="黑体" w:hAnsi="黑体" w:eastAsia="黑体"/>
          <w:b/>
          <w:sz w:val="32"/>
          <w:szCs w:val="32"/>
          <w:highlight w:val="none"/>
        </w:rPr>
      </w:pPr>
      <w:r>
        <w:rPr>
          <w:rFonts w:hint="eastAsia" w:ascii="黑体" w:hAnsi="黑体" w:eastAsia="黑体"/>
          <w:sz w:val="32"/>
          <w:szCs w:val="32"/>
          <w:highlight w:val="none"/>
        </w:rPr>
        <w:t>（二）招标投标分段限时投诉的规定</w:t>
      </w:r>
    </w:p>
    <w:p>
      <w:pPr>
        <w:ind w:firstLine="420" w:firstLineChars="200"/>
        <w:rPr>
          <w:bCs/>
          <w:szCs w:val="21"/>
          <w:highlight w:val="none"/>
        </w:rPr>
      </w:pPr>
      <w:r>
        <w:rPr>
          <w:rFonts w:hint="eastAsia"/>
          <w:bCs/>
          <w:szCs w:val="21"/>
          <w:highlight w:val="none"/>
        </w:rPr>
        <w:t>潮州市工程建设项目招标投标实行招标人负责制。招标人应当依法处理异议，配合行政监督部门处理投诉。市、县区建设行政主管部门以及其他有关行政监督部门按照职责分工和监管权限，受理和处理工程建设项目招标投标投诉，对工程建设项目招标投标的异议处理进行监督。</w:t>
      </w:r>
    </w:p>
    <w:p>
      <w:pPr>
        <w:ind w:firstLine="420" w:firstLineChars="200"/>
        <w:rPr>
          <w:bCs/>
          <w:szCs w:val="21"/>
          <w:highlight w:val="none"/>
        </w:rPr>
      </w:pPr>
      <w:r>
        <w:rPr>
          <w:rFonts w:hint="eastAsia"/>
          <w:bCs/>
          <w:szCs w:val="21"/>
          <w:highlight w:val="none"/>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招标投标活动异议和投诉的提出期限以及处理，具体见</w:t>
      </w:r>
      <w:r>
        <w:rPr>
          <w:rFonts w:hint="eastAsia"/>
          <w:bCs/>
          <w:szCs w:val="21"/>
          <w:highlight w:val="none"/>
          <w:lang w:eastAsia="zh-CN"/>
        </w:rPr>
        <w:t>《</w:t>
      </w:r>
      <w:r>
        <w:rPr>
          <w:rFonts w:hint="eastAsia"/>
          <w:bCs/>
          <w:szCs w:val="21"/>
          <w:highlight w:val="none"/>
        </w:rPr>
        <w:t>工程建设项目招标投标活动投诉处理办法</w:t>
      </w:r>
      <w:r>
        <w:rPr>
          <w:rFonts w:hint="eastAsia"/>
          <w:bCs/>
          <w:szCs w:val="21"/>
          <w:highlight w:val="none"/>
          <w:lang w:eastAsia="zh-CN"/>
        </w:rPr>
        <w:t>》、《潮州市工程建设项目招标投标</w:t>
      </w:r>
      <w:r>
        <w:rPr>
          <w:rFonts w:hint="eastAsia"/>
          <w:bCs/>
          <w:szCs w:val="21"/>
          <w:highlight w:val="none"/>
        </w:rPr>
        <w:t>活动投诉处理办法</w:t>
      </w:r>
      <w:r>
        <w:rPr>
          <w:rFonts w:hint="eastAsia"/>
          <w:bCs/>
          <w:szCs w:val="21"/>
          <w:highlight w:val="none"/>
          <w:lang w:eastAsia="zh-CN"/>
        </w:rPr>
        <w:t>》</w:t>
      </w:r>
      <w:r>
        <w:rPr>
          <w:rFonts w:hint="eastAsia"/>
          <w:bCs/>
          <w:szCs w:val="21"/>
          <w:highlight w:val="none"/>
        </w:rPr>
        <w:t>的规定。</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1"/>
        <w:rPr>
          <w:rFonts w:ascii="宋体" w:hAnsi="宋体"/>
          <w:b/>
          <w:kern w:val="0"/>
          <w:sz w:val="30"/>
          <w:highlight w:val="none"/>
        </w:rPr>
      </w:pPr>
      <w:r>
        <w:rPr>
          <w:rFonts w:hint="eastAsia" w:ascii="宋体" w:hAnsi="宋体"/>
          <w:b/>
          <w:kern w:val="0"/>
          <w:sz w:val="30"/>
          <w:highlight w:val="none"/>
        </w:rPr>
        <w:t>二、投标文件否决性条款</w:t>
      </w:r>
      <w:bookmarkEnd w:id="12"/>
    </w:p>
    <w:p>
      <w:pPr>
        <w:adjustRightInd w:val="0"/>
        <w:snapToGrid w:val="0"/>
        <w:spacing w:line="360" w:lineRule="auto"/>
        <w:ind w:firstLine="420" w:firstLineChars="200"/>
        <w:rPr>
          <w:rFonts w:ascii="宋体" w:hAnsi="宋体"/>
          <w:b/>
          <w:bCs/>
          <w:color w:val="000000" w:themeColor="text1"/>
          <w:kern w:val="0"/>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【提示招标人】</w:t>
      </w:r>
      <w:r>
        <w:rPr>
          <w:rFonts w:hint="eastAsia" w:ascii="宋体" w:hAnsi="宋体"/>
          <w:bCs/>
          <w:color w:val="000000" w:themeColor="text1"/>
          <w:kern w:val="0"/>
          <w:szCs w:val="21"/>
          <w:highlight w:val="none"/>
          <w14:textFill>
            <w14:solidFill>
              <w14:schemeClr w14:val="tx1"/>
            </w14:solidFill>
          </w14:textFill>
        </w:rPr>
        <w:t>如招标文件的澄清、答疑、补充文件中增加否决性条款的，招标人应当重新编写本章节内容，将新增否决性条款列入本章节，并发布新的完整的《投标文件否决性条款》。否则，增加的否决性条款无效。</w:t>
      </w:r>
    </w:p>
    <w:p>
      <w:pPr>
        <w:adjustRightInd w:val="0"/>
        <w:snapToGrid w:val="0"/>
        <w:spacing w:line="360" w:lineRule="auto"/>
        <w:ind w:firstLine="420" w:firstLineChars="200"/>
        <w:rPr>
          <w:rFonts w:ascii="楷体_GB2312" w:eastAsia="楷体_GB2312"/>
          <w:b/>
          <w:strike/>
          <w:color w:val="000000" w:themeColor="text1"/>
          <w:kern w:val="0"/>
          <w:sz w:val="20"/>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【提示投标人和评标委员会】</w:t>
      </w:r>
      <w:r>
        <w:rPr>
          <w:rFonts w:hint="eastAsia" w:ascii="宋体" w:hAnsi="宋体"/>
          <w:bCs/>
          <w:color w:val="000000" w:themeColor="text1"/>
          <w:kern w:val="0"/>
          <w:szCs w:val="21"/>
          <w:highlight w:val="none"/>
          <w14:textFill>
            <w14:solidFill>
              <w14:schemeClr w14:val="tx1"/>
            </w14:solidFill>
          </w14:textFill>
        </w:rPr>
        <w:t>本章节是本工程招标文件（含招标文件的澄清、补充文件等）中涉及的所有否决性条款，否决性条款包括：招标文件不予受理（开标阶段）、废标（评标阶段）条款。除出现以下情形外，投标文件的其他任何情形均不得作否决处理。招标文件中有关否决性条款的阐述与本章节不一致的，以本章节内容为准。</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b/>
          <w:color w:val="000000" w:themeColor="text1"/>
          <w:kern w:val="0"/>
          <w:highlight w:val="none"/>
          <w14:textFill>
            <w14:solidFill>
              <w14:schemeClr w14:val="tx1"/>
            </w14:solidFill>
          </w14:textFill>
        </w:rPr>
        <w:t>（一）</w:t>
      </w:r>
      <w:r>
        <w:rPr>
          <w:rFonts w:hint="eastAsia" w:ascii="宋体" w:hAnsi="宋体"/>
          <w:b/>
          <w:color w:val="000000" w:themeColor="text1"/>
          <w:kern w:val="0"/>
          <w:highlight w:val="none"/>
          <w:lang w:eastAsia="zh-CN"/>
          <w14:textFill>
            <w14:solidFill>
              <w14:schemeClr w14:val="tx1"/>
            </w14:solidFill>
          </w14:textFill>
        </w:rPr>
        <w:t>开标阶段不予受理的情形（由招标人或其委派人员负责判定）：</w:t>
      </w:r>
    </w:p>
    <w:p>
      <w:pPr>
        <w:numPr>
          <w:ilvl w:val="0"/>
          <w:numId w:val="3"/>
        </w:numPr>
        <w:adjustRightInd w:val="0"/>
        <w:snapToGrid w:val="0"/>
        <w:spacing w:line="360" w:lineRule="auto"/>
        <w:ind w:left="422" w:leftChars="180" w:hanging="44" w:hangingChars="21"/>
        <w:rPr>
          <w:rFonts w:hint="eastAsia" w:eastAsiaTheme="minorEastAsia"/>
          <w:bCs/>
          <w:szCs w:val="21"/>
          <w:highlight w:val="none"/>
          <w:lang w:eastAsia="zh-CN"/>
        </w:rPr>
      </w:pPr>
      <w:r>
        <w:rPr>
          <w:rFonts w:hint="eastAsia"/>
          <w:szCs w:val="21"/>
          <w:highlight w:val="none"/>
        </w:rPr>
        <w:t>逾期提交投标文件</w:t>
      </w:r>
      <w:r>
        <w:rPr>
          <w:rFonts w:hint="eastAsia"/>
          <w:szCs w:val="21"/>
          <w:highlight w:val="none"/>
          <w:lang w:eastAsia="zh-CN"/>
        </w:rPr>
        <w:t>。</w:t>
      </w:r>
    </w:p>
    <w:p>
      <w:pPr>
        <w:numPr>
          <w:ilvl w:val="0"/>
          <w:numId w:val="3"/>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资格审查不合格</w:t>
      </w:r>
      <w:r>
        <w:rPr>
          <w:rFonts w:hint="eastAsia"/>
          <w:szCs w:val="21"/>
          <w:highlight w:val="none"/>
          <w:lang w:eastAsia="zh-CN"/>
        </w:rPr>
        <w:t>。</w:t>
      </w:r>
    </w:p>
    <w:p>
      <w:pPr>
        <w:numPr>
          <w:ilvl w:val="0"/>
          <w:numId w:val="3"/>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投标文件中各电子投标文件未加</w:t>
      </w:r>
      <w:r>
        <w:rPr>
          <w:rFonts w:hint="eastAsia"/>
          <w:szCs w:val="21"/>
          <w:highlight w:val="none"/>
          <w:lang w:eastAsia="zh-CN"/>
        </w:rPr>
        <w:t>有效电子签章。</w:t>
      </w:r>
    </w:p>
    <w:p>
      <w:pPr>
        <w:numPr>
          <w:ilvl w:val="0"/>
          <w:numId w:val="3"/>
        </w:numPr>
        <w:adjustRightInd w:val="0"/>
        <w:snapToGrid w:val="0"/>
        <w:spacing w:line="360" w:lineRule="auto"/>
        <w:ind w:left="422" w:leftChars="180" w:hanging="44" w:hangingChars="21"/>
        <w:rPr>
          <w:rFonts w:hint="eastAsia"/>
          <w:szCs w:val="21"/>
          <w:highlight w:val="none"/>
          <w:lang w:eastAsia="zh-CN"/>
        </w:rPr>
      </w:pPr>
      <w:r>
        <w:rPr>
          <w:szCs w:val="21"/>
          <w:highlight w:val="none"/>
        </w:rPr>
        <w:t>投标文件</w:t>
      </w:r>
      <w:r>
        <w:rPr>
          <w:rFonts w:hint="eastAsia"/>
          <w:szCs w:val="21"/>
          <w:highlight w:val="none"/>
        </w:rPr>
        <w:t>的投标报价高于公布</w:t>
      </w:r>
      <w:r>
        <w:rPr>
          <w:rFonts w:hint="eastAsia"/>
          <w:szCs w:val="21"/>
          <w:highlight w:val="none"/>
          <w:lang w:eastAsia="zh-CN"/>
        </w:rPr>
        <w:t>的最高投标限价。</w:t>
      </w:r>
    </w:p>
    <w:p>
      <w:pPr>
        <w:numPr>
          <w:ilvl w:val="0"/>
          <w:numId w:val="3"/>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lang w:eastAsia="zh-CN"/>
        </w:rPr>
        <w:t>投标人</w:t>
      </w:r>
      <w:r>
        <w:rPr>
          <w:rFonts w:hint="eastAsia"/>
          <w:szCs w:val="21"/>
          <w:highlight w:val="none"/>
        </w:rPr>
        <w:t>拒签或不按要求签署承诺书</w:t>
      </w:r>
    </w:p>
    <w:p>
      <w:pPr>
        <w:numPr>
          <w:ilvl w:val="0"/>
          <w:numId w:val="3"/>
        </w:numPr>
        <w:adjustRightInd w:val="0"/>
        <w:snapToGrid w:val="0"/>
        <w:spacing w:line="360" w:lineRule="auto"/>
        <w:ind w:left="422" w:leftChars="180" w:hanging="44" w:hangingChars="21"/>
        <w:rPr>
          <w:rFonts w:hint="eastAsia" w:eastAsiaTheme="minorEastAsia"/>
          <w:bCs/>
          <w:szCs w:val="21"/>
          <w:highlight w:val="none"/>
          <w:lang w:eastAsia="zh-CN"/>
        </w:rPr>
      </w:pPr>
      <w:r>
        <w:rPr>
          <w:rFonts w:hint="eastAsia"/>
          <w:szCs w:val="21"/>
          <w:highlight w:val="none"/>
        </w:rPr>
        <w:t>投标文件承诺的</w:t>
      </w:r>
      <w:r>
        <w:rPr>
          <w:rFonts w:hint="eastAsia"/>
          <w:szCs w:val="21"/>
          <w:highlight w:val="none"/>
          <w:lang w:eastAsia="zh-CN"/>
        </w:rPr>
        <w:t>服务期限不满足</w:t>
      </w:r>
      <w:r>
        <w:rPr>
          <w:rFonts w:hint="eastAsia"/>
          <w:szCs w:val="21"/>
          <w:highlight w:val="none"/>
        </w:rPr>
        <w:t>招标文件要</w:t>
      </w:r>
      <w:r>
        <w:rPr>
          <w:rFonts w:hint="eastAsia"/>
          <w:bCs/>
          <w:szCs w:val="21"/>
          <w:highlight w:val="none"/>
        </w:rPr>
        <w:t>求</w:t>
      </w:r>
      <w:r>
        <w:rPr>
          <w:rFonts w:hint="eastAsia"/>
          <w:bCs/>
          <w:szCs w:val="21"/>
          <w:highlight w:val="none"/>
          <w:lang w:eastAsia="zh-CN"/>
        </w:rPr>
        <w:t>。</w:t>
      </w:r>
    </w:p>
    <w:p>
      <w:pPr>
        <w:numPr>
          <w:ilvl w:val="0"/>
          <w:numId w:val="3"/>
        </w:numPr>
        <w:adjustRightInd w:val="0"/>
        <w:snapToGrid w:val="0"/>
        <w:spacing w:line="360" w:lineRule="auto"/>
        <w:ind w:left="422" w:leftChars="180" w:hanging="44" w:hangingChars="21"/>
        <w:rPr>
          <w:rFonts w:hint="default" w:eastAsiaTheme="minorEastAsia"/>
          <w:bCs/>
          <w:color w:val="000000" w:themeColor="text1"/>
          <w:szCs w:val="21"/>
          <w:highlight w:val="none"/>
          <w:lang w:val="en-US" w:eastAsia="zh-CN"/>
          <w14:textFill>
            <w14:solidFill>
              <w14:schemeClr w14:val="tx1"/>
            </w14:solidFill>
          </w14:textFill>
        </w:rPr>
      </w:pPr>
      <w:r>
        <w:rPr>
          <w:rFonts w:hint="eastAsia"/>
          <w:szCs w:val="21"/>
          <w:highlight w:val="none"/>
          <w:lang w:eastAsia="zh-CN"/>
        </w:rPr>
        <w:t>项目负责人</w:t>
      </w:r>
      <w:r>
        <w:rPr>
          <w:rFonts w:hint="eastAsia"/>
          <w:szCs w:val="21"/>
          <w:highlight w:val="none"/>
          <w:lang w:val="en-US" w:eastAsia="zh-CN"/>
        </w:rPr>
        <w:t>因监理原因导致重大安全质量事故受行业主管部门行政处罚。</w:t>
      </w:r>
    </w:p>
    <w:p>
      <w:pPr>
        <w:numPr>
          <w:ilvl w:val="0"/>
          <w:numId w:val="3"/>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color w:val="000000" w:themeColor="text1"/>
          <w:szCs w:val="21"/>
          <w:highlight w:val="none"/>
          <w14:textFill>
            <w14:solidFill>
              <w14:schemeClr w14:val="tx1"/>
            </w14:solidFill>
          </w14:textFill>
        </w:rPr>
        <w:t>投标人提交的电子标书格式不符合招标文件要求</w:t>
      </w:r>
      <w:r>
        <w:rPr>
          <w:rFonts w:hint="eastAsia"/>
          <w:color w:val="000000" w:themeColor="text1"/>
          <w:szCs w:val="21"/>
          <w:highlight w:val="none"/>
          <w:lang w:eastAsia="zh-CN"/>
          <w14:textFill>
            <w14:solidFill>
              <w14:schemeClr w14:val="tx1"/>
            </w14:solidFill>
          </w14:textFill>
        </w:rPr>
        <w:t>。</w:t>
      </w:r>
    </w:p>
    <w:p>
      <w:pPr>
        <w:numPr>
          <w:ilvl w:val="0"/>
          <w:numId w:val="3"/>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组成联合体投标时，未提交联合体共同投标协议书</w:t>
      </w:r>
      <w:r>
        <w:rPr>
          <w:rFonts w:hint="eastAsia"/>
          <w:szCs w:val="21"/>
          <w:highlight w:val="none"/>
          <w:lang w:eastAsia="zh-CN"/>
        </w:rPr>
        <w:t>。</w:t>
      </w:r>
    </w:p>
    <w:p>
      <w:pPr>
        <w:numPr>
          <w:ilvl w:val="0"/>
          <w:numId w:val="3"/>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联合体各方在同一招标项目中以自己名义单独投标或者参加其他联合体投标</w:t>
      </w:r>
      <w:r>
        <w:rPr>
          <w:rFonts w:hint="eastAsia"/>
          <w:szCs w:val="21"/>
          <w:highlight w:val="none"/>
          <w:lang w:eastAsia="zh-CN"/>
        </w:rPr>
        <w:t>。</w:t>
      </w:r>
    </w:p>
    <w:p>
      <w:pPr>
        <w:numPr>
          <w:ilvl w:val="0"/>
          <w:numId w:val="3"/>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相互间有直接控股关系或法定代表人为同一人的两个或两个以上的法人提交投标文件的，</w:t>
      </w:r>
      <w:r>
        <w:rPr>
          <w:rFonts w:hint="eastAsia"/>
          <w:szCs w:val="21"/>
          <w:highlight w:val="none"/>
          <w:lang w:val="en-US" w:eastAsia="zh-CN"/>
        </w:rPr>
        <w:t>至至截标时点，</w:t>
      </w:r>
      <w:r>
        <w:rPr>
          <w:rFonts w:hint="eastAsia"/>
          <w:szCs w:val="21"/>
          <w:highlight w:val="none"/>
        </w:rPr>
        <w:t>当部分相关单位自愿退出后仍有两家或两家以上要求继续进入后续招投标环节</w:t>
      </w:r>
      <w:r>
        <w:rPr>
          <w:rFonts w:hint="eastAsia"/>
          <w:szCs w:val="21"/>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422" w:leftChars="180" w:hanging="44" w:hangingChars="21"/>
        <w:textAlignment w:val="auto"/>
        <w:rPr>
          <w:rFonts w:hint="eastAsia" w:ascii="宋体" w:hAnsi="宋体" w:cs="宋体"/>
          <w:color w:val="000000" w:themeColor="text1"/>
          <w:kern w:val="0"/>
          <w:szCs w:val="21"/>
          <w:highlight w:val="none"/>
          <w14:textFill>
            <w14:solidFill>
              <w14:schemeClr w14:val="tx1"/>
            </w14:solidFill>
          </w14:textFill>
        </w:rPr>
      </w:pPr>
      <w:r>
        <w:rPr>
          <w:rFonts w:hint="eastAsia"/>
          <w:bCs/>
          <w:szCs w:val="21"/>
          <w:highlight w:val="none"/>
        </w:rPr>
        <w:t>未按招标文件要求提交投标担保</w:t>
      </w:r>
      <w:r>
        <w:rPr>
          <w:rFonts w:hint="eastAsia"/>
          <w:bCs/>
          <w:szCs w:val="21"/>
          <w:highlight w:val="none"/>
          <w:lang w:eastAsia="zh-CN"/>
        </w:rPr>
        <w:t>。</w:t>
      </w:r>
    </w:p>
    <w:p>
      <w:pPr>
        <w:numPr>
          <w:ilvl w:val="0"/>
          <w:numId w:val="3"/>
        </w:numPr>
        <w:adjustRightInd w:val="0"/>
        <w:snapToGrid w:val="0"/>
        <w:spacing w:line="360" w:lineRule="auto"/>
        <w:ind w:left="422" w:leftChars="180" w:hanging="44" w:hangingChars="21"/>
        <w:rPr>
          <w:szCs w:val="21"/>
          <w:highlight w:val="none"/>
        </w:rPr>
      </w:pPr>
      <w:r>
        <w:rPr>
          <w:szCs w:val="21"/>
          <w:highlight w:val="none"/>
        </w:rPr>
        <w:sym w:font="Wingdings 2" w:char="00A3"/>
      </w:r>
      <w:r>
        <w:rPr>
          <w:rFonts w:hint="eastAsia"/>
          <w:szCs w:val="21"/>
          <w:highlight w:val="none"/>
        </w:rPr>
        <w:t>本次招标下述1</w:t>
      </w:r>
      <w:r>
        <w:rPr>
          <w:rFonts w:hint="eastAsia"/>
          <w:szCs w:val="21"/>
          <w:highlight w:val="none"/>
          <w:lang w:val="en-US" w:eastAsia="zh-CN"/>
        </w:rPr>
        <w:t>3</w:t>
      </w:r>
      <w:r>
        <w:rPr>
          <w:szCs w:val="21"/>
          <w:highlight w:val="none"/>
        </w:rPr>
        <w:t>.</w:t>
      </w:r>
      <w:r>
        <w:rPr>
          <w:rFonts w:hint="eastAsia"/>
          <w:szCs w:val="21"/>
          <w:highlight w:val="none"/>
          <w:lang w:val="en-US" w:eastAsia="zh-CN"/>
        </w:rPr>
        <w:t>1</w:t>
      </w:r>
      <w:r>
        <w:rPr>
          <w:rFonts w:hint="eastAsia"/>
          <w:szCs w:val="21"/>
          <w:highlight w:val="none"/>
        </w:rPr>
        <w:t>至1</w:t>
      </w:r>
      <w:r>
        <w:rPr>
          <w:rFonts w:hint="eastAsia"/>
          <w:szCs w:val="21"/>
          <w:highlight w:val="none"/>
          <w:lang w:val="en-US" w:eastAsia="zh-CN"/>
        </w:rPr>
        <w:t>3</w:t>
      </w:r>
      <w:r>
        <w:rPr>
          <w:szCs w:val="21"/>
          <w:highlight w:val="none"/>
        </w:rPr>
        <w:t>.</w:t>
      </w:r>
      <w:r>
        <w:rPr>
          <w:rFonts w:hint="eastAsia"/>
          <w:szCs w:val="21"/>
          <w:highlight w:val="none"/>
          <w:lang w:val="en-US" w:eastAsia="zh-CN"/>
        </w:rPr>
        <w:t>4</w:t>
      </w:r>
      <w:r>
        <w:rPr>
          <w:rFonts w:hint="eastAsia"/>
          <w:szCs w:val="21"/>
          <w:highlight w:val="none"/>
        </w:rPr>
        <w:t>条款生效（勾选生效）：</w:t>
      </w:r>
    </w:p>
    <w:p>
      <w:pPr>
        <w:numPr>
          <w:ilvl w:val="1"/>
          <w:numId w:val="4"/>
        </w:numPr>
        <w:tabs>
          <w:tab w:val="left" w:pos="940"/>
        </w:tabs>
        <w:adjustRightInd w:val="0"/>
        <w:snapToGrid w:val="0"/>
        <w:spacing w:line="360" w:lineRule="auto"/>
        <w:ind w:left="0" w:leftChars="0" w:firstLine="375" w:firstLineChars="179"/>
        <w:rPr>
          <w:szCs w:val="21"/>
          <w:highlight w:val="none"/>
        </w:rPr>
      </w:pPr>
      <w:r>
        <w:rPr>
          <w:szCs w:val="21"/>
          <w:highlight w:val="none"/>
        </w:rPr>
        <w:sym w:font="Wingdings 2" w:char="00A3"/>
      </w:r>
      <w:r>
        <w:rPr>
          <w:rFonts w:hint="eastAsia"/>
          <w:szCs w:val="21"/>
          <w:highlight w:val="none"/>
          <w:lang w:eastAsia="zh-CN"/>
        </w:rPr>
        <w:t>在国家企业信用信息公示系统中出现经营异常信息，或近三年内被列入严重违法失信企业名单（黑名单）等不良记录，或在信用中国网站被列入失信被执行人名单</w:t>
      </w:r>
      <w:r>
        <w:rPr>
          <w:rFonts w:hint="eastAsia"/>
          <w:szCs w:val="21"/>
          <w:highlight w:val="none"/>
        </w:rPr>
        <w:t>；</w:t>
      </w:r>
    </w:p>
    <w:p>
      <w:pPr>
        <w:numPr>
          <w:ilvl w:val="1"/>
          <w:numId w:val="4"/>
        </w:numPr>
        <w:tabs>
          <w:tab w:val="left" w:pos="940"/>
        </w:tabs>
        <w:adjustRightInd w:val="0"/>
        <w:snapToGrid w:val="0"/>
        <w:spacing w:line="360" w:lineRule="auto"/>
        <w:ind w:left="0" w:leftChars="0" w:firstLine="375" w:firstLineChars="179"/>
        <w:rPr>
          <w:rFonts w:hint="eastAsia"/>
          <w:szCs w:val="21"/>
          <w:highlight w:val="none"/>
        </w:rPr>
      </w:pPr>
      <w:r>
        <w:rPr>
          <w:szCs w:val="21"/>
          <w:highlight w:val="none"/>
        </w:rPr>
        <w:sym w:font="Wingdings 2" w:char="00A3"/>
      </w:r>
      <w:r>
        <w:rPr>
          <w:rFonts w:hint="eastAsia"/>
          <w:szCs w:val="21"/>
          <w:highlight w:val="none"/>
        </w:rPr>
        <w:t>近3年内（从截标之日起倒算）曾被本项目招标人履约评价为不合格；</w:t>
      </w:r>
    </w:p>
    <w:p>
      <w:pPr>
        <w:numPr>
          <w:ilvl w:val="1"/>
          <w:numId w:val="4"/>
        </w:numPr>
        <w:tabs>
          <w:tab w:val="left" w:pos="940"/>
        </w:tabs>
        <w:adjustRightInd w:val="0"/>
        <w:snapToGrid w:val="0"/>
        <w:spacing w:line="360" w:lineRule="auto"/>
        <w:ind w:left="0" w:leftChars="0" w:firstLine="375" w:firstLineChars="179"/>
        <w:rPr>
          <w:szCs w:val="21"/>
          <w:highlight w:val="none"/>
        </w:rPr>
      </w:pPr>
      <w:r>
        <w:rPr>
          <w:szCs w:val="21"/>
          <w:highlight w:val="none"/>
        </w:rPr>
        <w:sym w:font="Wingdings 2" w:char="00A3"/>
      </w:r>
      <w:r>
        <w:rPr>
          <w:rFonts w:hint="eastAsia"/>
          <w:szCs w:val="21"/>
          <w:highlight w:val="none"/>
        </w:rPr>
        <w:t>近2年内（从截标之日起倒算）曾有放弃中标资格、拒不签订合同、拒不提供履约担保情形；</w:t>
      </w:r>
    </w:p>
    <w:p>
      <w:pPr>
        <w:numPr>
          <w:ilvl w:val="1"/>
          <w:numId w:val="4"/>
        </w:numPr>
        <w:tabs>
          <w:tab w:val="left" w:pos="940"/>
        </w:tabs>
        <w:adjustRightInd w:val="0"/>
        <w:snapToGrid w:val="0"/>
        <w:spacing w:line="360" w:lineRule="auto"/>
        <w:ind w:left="0" w:leftChars="0" w:firstLine="375" w:firstLineChars="179"/>
        <w:rPr>
          <w:rFonts w:hint="eastAsia"/>
          <w:szCs w:val="21"/>
          <w:highlight w:val="none"/>
        </w:rPr>
      </w:pPr>
      <w:r>
        <w:rPr>
          <w:szCs w:val="21"/>
          <w:highlight w:val="none"/>
        </w:rPr>
        <w:sym w:font="Wingdings 2" w:char="00A3"/>
      </w:r>
      <w:r>
        <w:rPr>
          <w:rFonts w:hint="eastAsia"/>
          <w:szCs w:val="21"/>
          <w:highlight w:val="none"/>
        </w:rPr>
        <w:t>因违反工程质量、安全生产管理规定，或者因串通投标、转包、以他人名义投标或者违法分包等违法行为，正在接受</w:t>
      </w:r>
      <w:r>
        <w:rPr>
          <w:rFonts w:hint="eastAsia"/>
          <w:szCs w:val="21"/>
          <w:highlight w:val="none"/>
          <w:lang w:eastAsia="zh-CN"/>
        </w:rPr>
        <w:t>行业行政主管部门或财政部门</w:t>
      </w:r>
      <w:r>
        <w:rPr>
          <w:rFonts w:hint="eastAsia"/>
          <w:szCs w:val="21"/>
          <w:highlight w:val="none"/>
        </w:rPr>
        <w:t>立案调查。</w:t>
      </w:r>
    </w:p>
    <w:p>
      <w:pPr>
        <w:numPr>
          <w:ilvl w:val="0"/>
          <w:numId w:val="5"/>
        </w:numPr>
        <w:adjustRightInd w:val="0"/>
        <w:snapToGrid w:val="0"/>
        <w:spacing w:line="360" w:lineRule="auto"/>
        <w:ind w:left="422" w:leftChars="180" w:hanging="44" w:hangingChars="21"/>
        <w:rPr>
          <w:rFonts w:hint="eastAsia"/>
          <w:szCs w:val="21"/>
          <w:highlight w:val="none"/>
        </w:rPr>
      </w:pPr>
      <w:r>
        <w:rPr>
          <w:rFonts w:hint="eastAsia"/>
          <w:bCs/>
          <w:szCs w:val="21"/>
          <w:highlight w:val="none"/>
        </w:rPr>
        <w:t>依法</w:t>
      </w:r>
      <w:r>
        <w:rPr>
          <w:rFonts w:hint="eastAsia"/>
          <w:szCs w:val="21"/>
          <w:highlight w:val="none"/>
        </w:rPr>
        <w:t>应当拒绝投标的其他情形。</w:t>
      </w:r>
    </w:p>
    <w:p>
      <w:pPr>
        <w:pStyle w:val="2"/>
        <w:rPr>
          <w:highlight w:val="none"/>
        </w:rPr>
      </w:pPr>
      <w:r>
        <w:rPr>
          <w:rFonts w:hint="eastAsia"/>
          <w:highlight w:val="none"/>
          <w:lang w:val="en-US" w:eastAsia="zh-CN"/>
        </w:rPr>
        <w:t xml:space="preserve">  </w:t>
      </w:r>
      <w:r>
        <w:rPr>
          <w:rFonts w:hint="eastAsia" w:asciiTheme="minorHAnsi" w:hAnsiTheme="minorHAnsi" w:eastAsiaTheme="minorEastAsia" w:cstheme="minorBidi"/>
          <w:kern w:val="2"/>
          <w:sz w:val="21"/>
          <w:szCs w:val="21"/>
          <w:highlight w:val="none"/>
          <w:lang w:val="en-US" w:eastAsia="zh-CN" w:bidi="ar-SA"/>
        </w:rPr>
        <w:t xml:space="preserve">  如投标人违反上述条款而在开标阶段未被发现，则后续招标环节发现相关情况时，招标人有权拒绝其投标。</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b/>
          <w:color w:val="000000" w:themeColor="text1"/>
          <w:kern w:val="0"/>
          <w:highlight w:val="none"/>
          <w14:textFill>
            <w14:solidFill>
              <w14:schemeClr w14:val="tx1"/>
            </w14:solidFill>
          </w14:textFill>
        </w:rPr>
        <w:t>（二）</w:t>
      </w:r>
      <w:r>
        <w:rPr>
          <w:rFonts w:hint="eastAsia" w:ascii="宋体" w:hAnsi="宋体"/>
          <w:b/>
          <w:bCs/>
          <w:color w:val="000000" w:themeColor="text1"/>
          <w:kern w:val="0"/>
          <w:szCs w:val="21"/>
          <w:highlight w:val="none"/>
          <w14:textFill>
            <w14:solidFill>
              <w14:schemeClr w14:val="tx1"/>
            </w14:solidFill>
          </w14:textFill>
        </w:rPr>
        <w:t>评标阶段有关废标的情形（由评标委员会负责判定）：</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2.投标人以他人的名义投标或出现下列串通投标、弄虚作假投标嫌疑情形之一：</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2.1</w:t>
      </w:r>
      <w:r>
        <w:rPr>
          <w:rFonts w:ascii="宋体" w:hAnsi="宋体"/>
          <w:color w:val="000000" w:themeColor="text1"/>
          <w:kern w:val="0"/>
          <w:szCs w:val="21"/>
          <w:highlight w:val="none"/>
          <w14:textFill>
            <w14:solidFill>
              <w14:schemeClr w14:val="tx1"/>
            </w14:solidFill>
          </w14:textFill>
        </w:rPr>
        <w:t>不同投标人的投标文件内容存在非正常一致</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w:t>
      </w:r>
      <w:r>
        <w:rPr>
          <w:rFonts w:ascii="宋体" w:hAnsi="宋体"/>
          <w:color w:val="000000" w:themeColor="text1"/>
          <w:kern w:val="0"/>
          <w:szCs w:val="21"/>
          <w:highlight w:val="none"/>
          <w14:textFill>
            <w14:solidFill>
              <w14:schemeClr w14:val="tx1"/>
            </w14:solidFill>
          </w14:textFill>
        </w:rPr>
        <w:t>不同投标人的投标文件</w:t>
      </w:r>
      <w:r>
        <w:rPr>
          <w:rFonts w:hint="eastAsia" w:ascii="宋体" w:hAnsi="宋体"/>
          <w:color w:val="000000" w:themeColor="text1"/>
          <w:kern w:val="0"/>
          <w:szCs w:val="21"/>
          <w:highlight w:val="none"/>
          <w:lang w:eastAsia="zh-CN"/>
          <w14:textFill>
            <w14:solidFill>
              <w14:schemeClr w14:val="tx1"/>
            </w14:solidFill>
          </w14:textFill>
        </w:rPr>
        <w:t>的实质性内容存在两处以上细节错误一致。</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w:t>
      </w:r>
      <w:r>
        <w:rPr>
          <w:rFonts w:ascii="宋体" w:hAnsi="宋体"/>
          <w:color w:val="000000" w:themeColor="text1"/>
          <w:kern w:val="0"/>
          <w:szCs w:val="21"/>
          <w:highlight w:val="none"/>
          <w14:textFill>
            <w14:solidFill>
              <w14:schemeClr w14:val="tx1"/>
            </w14:solidFill>
          </w14:textFill>
        </w:rPr>
        <w:t>不同投标人的投标文件由同一单位或者同一个人编制</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w:t>
      </w:r>
      <w:r>
        <w:rPr>
          <w:rFonts w:ascii="宋体" w:hAnsi="宋体"/>
          <w:color w:val="000000" w:themeColor="text1"/>
          <w:kern w:val="0"/>
          <w:szCs w:val="21"/>
          <w:highlight w:val="none"/>
          <w14:textFill>
            <w14:solidFill>
              <w14:schemeClr w14:val="tx1"/>
            </w14:solidFill>
          </w14:textFill>
        </w:rPr>
        <w:t>不同投标人的投标文件载明的项目管理班子成员出现同一人</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w:t>
      </w:r>
      <w:r>
        <w:rPr>
          <w:rFonts w:ascii="宋体" w:hAnsi="宋体"/>
          <w:color w:val="000000" w:themeColor="text1"/>
          <w:kern w:val="0"/>
          <w:szCs w:val="21"/>
          <w:highlight w:val="none"/>
          <w14:textFill>
            <w14:solidFill>
              <w14:schemeClr w14:val="tx1"/>
            </w14:solidFill>
          </w14:textFill>
        </w:rPr>
        <w:t>不同投标人的投标文件相互混装</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2.6不同投标人的投标文件由同一台电脑编制</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2.7不同投标人聘请同一人为其投标提供技术或者经济咨询服务，但招标工程本身要求采用专有技术的除外</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2.8</w:t>
      </w:r>
      <w:r>
        <w:rPr>
          <w:rFonts w:ascii="宋体" w:hAnsi="宋体"/>
          <w:color w:val="000000" w:themeColor="text1"/>
          <w:kern w:val="0"/>
          <w:szCs w:val="21"/>
          <w:highlight w:val="none"/>
          <w14:textFill>
            <w14:solidFill>
              <w14:schemeClr w14:val="tx1"/>
            </w14:solidFill>
          </w14:textFill>
        </w:rPr>
        <w:t>评标委员会认定的其他串通投标情形</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3.技术标书内容明显违反项目规划设计要点，技术经济指标严重失实</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4.技术标书中存在违反国家工程建设标准强制性条文</w:t>
      </w:r>
      <w:r>
        <w:rPr>
          <w:rFonts w:hint="eastAsia" w:ascii="宋体" w:hAnsi="宋体"/>
          <w:color w:val="000000" w:themeColor="text1"/>
          <w:kern w:val="0"/>
          <w:szCs w:val="21"/>
          <w:highlight w:val="none"/>
          <w:lang w:eastAsia="zh-CN"/>
          <w14:textFill>
            <w14:solidFill>
              <w14:schemeClr w14:val="tx1"/>
            </w14:solidFill>
          </w14:textFill>
        </w:rPr>
        <w:t>。</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ascii="宋体" w:hAnsi="宋体"/>
          <w:color w:val="000000" w:themeColor="text1"/>
          <w:kern w:val="0"/>
          <w:szCs w:val="21"/>
          <w:highlight w:val="none"/>
          <w14:textFill>
            <w14:solidFill>
              <w14:schemeClr w14:val="tx1"/>
            </w14:solidFill>
          </w14:textFill>
        </w:rPr>
        <w:t>评标委员会</w:t>
      </w:r>
      <w:r>
        <w:rPr>
          <w:rFonts w:hint="eastAsia" w:ascii="宋体" w:hAnsi="宋体"/>
          <w:color w:val="000000" w:themeColor="text1"/>
          <w:kern w:val="0"/>
          <w:szCs w:val="21"/>
          <w:highlight w:val="none"/>
          <w14:textFill>
            <w14:solidFill>
              <w14:schemeClr w14:val="tx1"/>
            </w14:solidFill>
          </w14:textFill>
        </w:rPr>
        <w:t>三分之二及以上成员</w:t>
      </w:r>
      <w:r>
        <w:rPr>
          <w:rFonts w:ascii="宋体" w:hAnsi="宋体"/>
          <w:color w:val="000000" w:themeColor="text1"/>
          <w:kern w:val="0"/>
          <w:szCs w:val="21"/>
          <w:highlight w:val="none"/>
          <w14:textFill>
            <w14:solidFill>
              <w14:schemeClr w14:val="tx1"/>
            </w14:solidFill>
          </w14:textFill>
        </w:rPr>
        <w:t>认</w:t>
      </w:r>
      <w:r>
        <w:rPr>
          <w:rFonts w:hint="eastAsia" w:ascii="宋体" w:hAnsi="宋体"/>
          <w:color w:val="000000" w:themeColor="text1"/>
          <w:kern w:val="0"/>
          <w:szCs w:val="21"/>
          <w:highlight w:val="none"/>
          <w14:textFill>
            <w14:solidFill>
              <w14:schemeClr w14:val="tx1"/>
            </w14:solidFill>
          </w14:textFill>
        </w:rPr>
        <w:t>为应当废标</w:t>
      </w:r>
      <w:r>
        <w:rPr>
          <w:rFonts w:ascii="宋体" w:hAnsi="宋体"/>
          <w:color w:val="000000" w:themeColor="text1"/>
          <w:kern w:val="0"/>
          <w:szCs w:val="21"/>
          <w:highlight w:val="none"/>
          <w14:textFill>
            <w14:solidFill>
              <w14:schemeClr w14:val="tx1"/>
            </w14:solidFill>
          </w14:textFill>
        </w:rPr>
        <w:t>的其他情形</w:t>
      </w:r>
      <w:r>
        <w:rPr>
          <w:rFonts w:hint="eastAsia" w:ascii="宋体" w:hAnsi="宋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rPr>
          <w:rFonts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（招标人对上述内容有修改或补充的，以下述条款为准）</w:t>
      </w:r>
    </w:p>
    <w:p>
      <w:pPr>
        <w:tabs>
          <w:tab w:val="left" w:pos="6285"/>
        </w:tabs>
        <w:adjustRightInd w:val="0"/>
        <w:snapToGrid w:val="0"/>
        <w:spacing w:line="360" w:lineRule="auto"/>
        <w:ind w:firstLine="420" w:firstLineChars="200"/>
        <w:rPr>
          <w:b/>
          <w:bCs/>
          <w:szCs w:val="21"/>
          <w:highlight w:val="none"/>
        </w:rPr>
      </w:pPr>
      <w:bookmarkStart w:id="14" w:name="_Toc14481"/>
      <w:r>
        <w:rPr>
          <w:rFonts w:hint="eastAsia"/>
          <w:b/>
          <w:szCs w:val="21"/>
          <w:highlight w:val="none"/>
        </w:rPr>
        <w:t>（</w:t>
      </w:r>
      <w:r>
        <w:rPr>
          <w:rFonts w:hint="eastAsia"/>
          <w:b/>
          <w:szCs w:val="21"/>
          <w:highlight w:val="none"/>
          <w:lang w:eastAsia="zh-CN"/>
        </w:rPr>
        <w:t>三</w:t>
      </w:r>
      <w:r>
        <w:rPr>
          <w:rFonts w:hint="eastAsia"/>
          <w:b/>
          <w:szCs w:val="21"/>
          <w:highlight w:val="none"/>
        </w:rPr>
        <w:t>）</w:t>
      </w:r>
      <w:r>
        <w:rPr>
          <w:rFonts w:hint="eastAsia"/>
          <w:b/>
          <w:bCs/>
          <w:szCs w:val="21"/>
          <w:highlight w:val="none"/>
        </w:rPr>
        <w:t>评标阶段有关废标的情形（由评标委员会负责判定）：</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rPr>
        <w:t>1、投标文件中存在明显不符合技术规范、技术标准强制性条文内容</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rPr>
        <w:t>2、技术标经评标委员会评审为不合格</w:t>
      </w:r>
      <w:r>
        <w:rPr>
          <w:rFonts w:hint="eastAsia"/>
          <w:szCs w:val="21"/>
          <w:highlight w:val="none"/>
          <w:lang w:eastAsia="zh-CN"/>
        </w:rPr>
        <w:t>。</w:t>
      </w:r>
    </w:p>
    <w:p>
      <w:pPr>
        <w:adjustRightInd w:val="0"/>
        <w:snapToGrid w:val="0"/>
        <w:spacing w:line="360" w:lineRule="auto"/>
        <w:ind w:firstLine="420" w:firstLineChars="200"/>
        <w:rPr>
          <w:rFonts w:hint="eastAsia"/>
          <w:b/>
          <w:szCs w:val="21"/>
          <w:highlight w:val="none"/>
        </w:rPr>
      </w:pPr>
      <w:r>
        <w:rPr>
          <w:rFonts w:hint="eastAsia"/>
          <w:szCs w:val="21"/>
          <w:highlight w:val="none"/>
        </w:rPr>
        <w:t>3、投标人拒不按照评标委员会要求对投标文件进行澄清、说明、补正</w:t>
      </w:r>
      <w:r>
        <w:rPr>
          <w:rFonts w:hint="eastAsia"/>
          <w:szCs w:val="21"/>
          <w:highlight w:val="none"/>
          <w:lang w:eastAsia="zh-CN"/>
        </w:rPr>
        <w:t>。</w:t>
      </w:r>
    </w:p>
    <w:p>
      <w:pPr>
        <w:adjustRightInd w:val="0"/>
        <w:snapToGrid w:val="0"/>
        <w:spacing w:line="360" w:lineRule="auto"/>
        <w:ind w:firstLine="420" w:firstLineChars="200"/>
        <w:rPr>
          <w:b/>
          <w:szCs w:val="21"/>
          <w:highlight w:val="none"/>
        </w:rPr>
      </w:pPr>
      <w:r>
        <w:rPr>
          <w:rFonts w:hint="eastAsia"/>
          <w:b/>
          <w:szCs w:val="21"/>
          <w:highlight w:val="none"/>
        </w:rPr>
        <w:t>（</w:t>
      </w:r>
      <w:r>
        <w:rPr>
          <w:rFonts w:hint="eastAsia"/>
          <w:b/>
          <w:szCs w:val="21"/>
          <w:highlight w:val="none"/>
          <w:lang w:eastAsia="zh-CN"/>
        </w:rPr>
        <w:t>四</w:t>
      </w:r>
      <w:r>
        <w:rPr>
          <w:rFonts w:hint="eastAsia"/>
          <w:b/>
          <w:szCs w:val="21"/>
          <w:highlight w:val="none"/>
        </w:rPr>
        <w:t>）招标人补充的投标文件不予受理的情形：</w:t>
      </w:r>
    </w:p>
    <w:p>
      <w:pPr>
        <w:adjustRightInd w:val="0"/>
        <w:snapToGrid w:val="0"/>
        <w:spacing w:line="360" w:lineRule="auto"/>
        <w:ind w:firstLine="420" w:firstLineChars="200"/>
        <w:rPr>
          <w:b/>
          <w:szCs w:val="21"/>
          <w:highlight w:val="none"/>
        </w:rPr>
      </w:pPr>
      <w:r>
        <w:rPr>
          <w:szCs w:val="21"/>
          <w:highlight w:val="none"/>
          <w:u w:val="single"/>
        </w:rPr>
        <w:t xml:space="preserve">      </w:t>
      </w:r>
    </w:p>
    <w:p>
      <w:pPr>
        <w:adjustRightInd w:val="0"/>
        <w:snapToGrid w:val="0"/>
        <w:spacing w:line="360" w:lineRule="auto"/>
        <w:ind w:firstLine="420" w:firstLineChars="200"/>
        <w:rPr>
          <w:b/>
          <w:szCs w:val="21"/>
          <w:highlight w:val="none"/>
        </w:rPr>
      </w:pPr>
      <w:r>
        <w:rPr>
          <w:rFonts w:hint="eastAsia"/>
          <w:b/>
          <w:szCs w:val="21"/>
          <w:highlight w:val="none"/>
        </w:rPr>
        <w:t>（</w:t>
      </w:r>
      <w:r>
        <w:rPr>
          <w:rFonts w:hint="eastAsia"/>
          <w:b/>
          <w:szCs w:val="21"/>
          <w:highlight w:val="none"/>
          <w:lang w:eastAsia="zh-CN"/>
        </w:rPr>
        <w:t>五</w:t>
      </w:r>
      <w:r>
        <w:rPr>
          <w:rFonts w:hint="eastAsia"/>
          <w:b/>
          <w:szCs w:val="21"/>
          <w:highlight w:val="none"/>
        </w:rPr>
        <w:t>）招标人补充的无效标情形：</w:t>
      </w:r>
    </w:p>
    <w:p>
      <w:pPr>
        <w:adjustRightInd w:val="0"/>
        <w:snapToGrid w:val="0"/>
        <w:spacing w:line="360" w:lineRule="auto"/>
        <w:ind w:firstLine="420" w:firstLineChars="200"/>
        <w:rPr>
          <w:b/>
          <w:szCs w:val="21"/>
          <w:highlight w:val="none"/>
        </w:rPr>
      </w:pPr>
      <w:r>
        <w:rPr>
          <w:szCs w:val="21"/>
          <w:highlight w:val="none"/>
          <w:u w:val="single"/>
        </w:rPr>
        <w:t xml:space="preserve">      </w:t>
      </w:r>
    </w:p>
    <w:p>
      <w:pPr>
        <w:adjustRightInd w:val="0"/>
        <w:snapToGrid w:val="0"/>
        <w:spacing w:line="360" w:lineRule="auto"/>
        <w:ind w:firstLine="420" w:firstLineChars="200"/>
        <w:rPr>
          <w:b/>
          <w:szCs w:val="21"/>
          <w:highlight w:val="none"/>
        </w:rPr>
      </w:pPr>
      <w:r>
        <w:rPr>
          <w:rFonts w:hint="eastAsia"/>
          <w:b/>
          <w:szCs w:val="21"/>
          <w:highlight w:val="none"/>
          <w:lang w:eastAsia="zh-CN"/>
        </w:rPr>
        <w:t>（六）</w:t>
      </w:r>
      <w:r>
        <w:rPr>
          <w:rFonts w:hint="eastAsia"/>
          <w:b/>
          <w:szCs w:val="21"/>
          <w:highlight w:val="none"/>
        </w:rPr>
        <w:t>招标人补充的废标情形：</w:t>
      </w:r>
    </w:p>
    <w:p>
      <w:pPr>
        <w:adjustRightInd w:val="0"/>
        <w:snapToGrid w:val="0"/>
        <w:spacing w:line="360" w:lineRule="auto"/>
        <w:ind w:firstLine="420" w:firstLineChars="200"/>
        <w:rPr>
          <w:highlight w:val="none"/>
        </w:rPr>
      </w:pPr>
      <w:r>
        <w:rPr>
          <w:szCs w:val="21"/>
          <w:highlight w:val="none"/>
          <w:u w:val="single"/>
        </w:rPr>
        <w:t xml:space="preserve">      </w:t>
      </w:r>
      <w:r>
        <w:rPr>
          <w:highlight w:val="none"/>
        </w:rPr>
        <w:br w:type="page"/>
      </w:r>
    </w:p>
    <w:p>
      <w:pPr>
        <w:adjustRightInd w:val="0"/>
        <w:snapToGrid w:val="0"/>
        <w:spacing w:line="360" w:lineRule="auto"/>
        <w:jc w:val="center"/>
        <w:outlineLvl w:val="1"/>
        <w:rPr>
          <w:rFonts w:ascii="宋体" w:hAnsi="宋体"/>
          <w:b/>
          <w:kern w:val="0"/>
          <w:sz w:val="30"/>
          <w:highlight w:val="none"/>
        </w:rPr>
      </w:pPr>
      <w:r>
        <w:rPr>
          <w:rFonts w:hint="eastAsia" w:ascii="宋体" w:hAnsi="宋体"/>
          <w:b/>
          <w:kern w:val="0"/>
          <w:sz w:val="30"/>
          <w:highlight w:val="none"/>
        </w:rPr>
        <w:t>三、招投标须知正文</w:t>
      </w:r>
      <w:bookmarkEnd w:id="14"/>
    </w:p>
    <w:p>
      <w:pPr>
        <w:adjustRightInd w:val="0"/>
        <w:snapToGrid w:val="0"/>
        <w:spacing w:line="360" w:lineRule="auto"/>
        <w:jc w:val="center"/>
        <w:outlineLvl w:val="2"/>
        <w:rPr>
          <w:rFonts w:ascii="宋体" w:hAnsi="宋体"/>
          <w:b/>
          <w:kern w:val="0"/>
          <w:sz w:val="30"/>
          <w:highlight w:val="none"/>
        </w:rPr>
      </w:pPr>
      <w:bookmarkStart w:id="15" w:name="_Toc7229"/>
      <w:r>
        <w:rPr>
          <w:rFonts w:hint="eastAsia" w:ascii="宋体" w:hAnsi="宋体"/>
          <w:b/>
          <w:kern w:val="0"/>
          <w:sz w:val="30"/>
          <w:highlight w:val="none"/>
        </w:rPr>
        <w:t>（一）招标</w:t>
      </w:r>
      <w:bookmarkEnd w:id="15"/>
    </w:p>
    <w:p>
      <w:pPr>
        <w:numPr>
          <w:ilvl w:val="1"/>
          <w:numId w:val="6"/>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踏勘现场</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szCs w:val="21"/>
          <w:highlight w:val="none"/>
        </w:rPr>
        <w:t>招标人</w:t>
      </w:r>
      <w:r>
        <w:rPr>
          <w:rFonts w:hint="eastAsia"/>
          <w:szCs w:val="21"/>
          <w:highlight w:val="none"/>
          <w:lang w:val="en-US" w:eastAsia="zh-CN"/>
        </w:rPr>
        <w:t>不组织</w:t>
      </w:r>
      <w:r>
        <w:rPr>
          <w:szCs w:val="21"/>
          <w:highlight w:val="none"/>
        </w:rPr>
        <w:t>投标现场踏勘，投标人</w:t>
      </w:r>
      <w:r>
        <w:rPr>
          <w:rFonts w:hint="eastAsia"/>
          <w:szCs w:val="21"/>
          <w:highlight w:val="none"/>
          <w:lang w:val="en-US" w:eastAsia="zh-CN"/>
        </w:rPr>
        <w:t>如</w:t>
      </w:r>
      <w:r>
        <w:rPr>
          <w:szCs w:val="21"/>
          <w:highlight w:val="none"/>
        </w:rPr>
        <w:t>需了解现场情况，可自行进行现场踏勘。踏勘现场所发生的费用由投标人自己承担。</w:t>
      </w:r>
    </w:p>
    <w:p>
      <w:pPr>
        <w:numPr>
          <w:ilvl w:val="1"/>
          <w:numId w:val="6"/>
        </w:numPr>
        <w:adjustRightInd w:val="0"/>
        <w:snapToGrid w:val="0"/>
        <w:spacing w:line="360" w:lineRule="auto"/>
        <w:ind w:left="7" w:leftChars="0" w:firstLine="373" w:firstLineChars="0"/>
        <w:rPr>
          <w:b/>
          <w:bCs/>
          <w:szCs w:val="21"/>
          <w:highlight w:val="none"/>
        </w:rPr>
      </w:pPr>
      <w:r>
        <w:rPr>
          <w:b/>
          <w:bCs/>
          <w:szCs w:val="21"/>
          <w:highlight w:val="none"/>
        </w:rPr>
        <w:t>招标文件的澄清、答疑</w:t>
      </w:r>
    </w:p>
    <w:p>
      <w:pPr>
        <w:numPr>
          <w:ilvl w:val="0"/>
          <w:numId w:val="0"/>
        </w:numPr>
        <w:adjustRightInd w:val="0"/>
        <w:snapToGrid w:val="0"/>
        <w:spacing w:line="360" w:lineRule="auto"/>
        <w:ind w:firstLine="420" w:firstLineChars="200"/>
        <w:rPr>
          <w:szCs w:val="21"/>
          <w:highlight w:val="none"/>
        </w:rPr>
      </w:pPr>
      <w:r>
        <w:rPr>
          <w:rFonts w:hint="eastAsia"/>
          <w:szCs w:val="21"/>
          <w:highlight w:val="none"/>
          <w:lang w:val="en-US" w:eastAsia="zh-CN"/>
        </w:rPr>
        <w:t>1.2.1</w:t>
      </w:r>
      <w:r>
        <w:rPr>
          <w:szCs w:val="21"/>
          <w:highlight w:val="none"/>
        </w:rPr>
        <w:t>招标人按法律法规规定时限在交易网发布招标文件的澄清（答疑）纪要、修改（补充）函件。澄清（答疑）纪要、修改（补充）函件均是招标文件的组成部分，对招标人投标人起约束作用。</w:t>
      </w:r>
    </w:p>
    <w:p>
      <w:pPr>
        <w:adjustRightInd w:val="0"/>
        <w:snapToGrid w:val="0"/>
        <w:spacing w:line="360" w:lineRule="auto"/>
        <w:ind w:firstLine="420" w:firstLineChars="200"/>
        <w:rPr>
          <w:szCs w:val="21"/>
          <w:highlight w:val="none"/>
        </w:rPr>
      </w:pPr>
      <w:r>
        <w:rPr>
          <w:rFonts w:hint="eastAsia"/>
          <w:szCs w:val="21"/>
          <w:highlight w:val="none"/>
          <w:lang w:val="en-US" w:eastAsia="zh-CN"/>
        </w:rPr>
        <w:t>1.2</w:t>
      </w:r>
      <w:r>
        <w:rPr>
          <w:szCs w:val="21"/>
          <w:highlight w:val="none"/>
        </w:rPr>
        <w:t>.2招标人按法律法规的规定时限在交易网发布补遗文件。</w:t>
      </w:r>
    </w:p>
    <w:p>
      <w:pPr>
        <w:numPr>
          <w:ilvl w:val="1"/>
          <w:numId w:val="6"/>
        </w:numPr>
        <w:adjustRightInd w:val="0"/>
        <w:snapToGrid w:val="0"/>
        <w:spacing w:line="360" w:lineRule="auto"/>
        <w:ind w:left="7" w:leftChars="0" w:firstLine="373" w:firstLineChars="0"/>
        <w:rPr>
          <w:szCs w:val="21"/>
          <w:highlight w:val="none"/>
        </w:rPr>
      </w:pPr>
      <w:r>
        <w:rPr>
          <w:b/>
          <w:bCs/>
          <w:szCs w:val="21"/>
          <w:highlight w:val="none"/>
        </w:rPr>
        <w:t>招标文件的修改</w:t>
      </w:r>
    </w:p>
    <w:p>
      <w:pPr>
        <w:adjustRightInd w:val="0"/>
        <w:snapToGrid w:val="0"/>
        <w:spacing w:line="360" w:lineRule="auto"/>
        <w:ind w:firstLine="420" w:firstLineChars="200"/>
        <w:rPr>
          <w:szCs w:val="21"/>
          <w:highlight w:val="none"/>
        </w:rPr>
      </w:pPr>
      <w:r>
        <w:rPr>
          <w:rFonts w:hint="eastAsia"/>
          <w:szCs w:val="21"/>
          <w:highlight w:val="none"/>
          <w:lang w:val="en-US" w:eastAsia="zh-CN"/>
        </w:rPr>
        <w:t>2.3</w:t>
      </w:r>
      <w:r>
        <w:rPr>
          <w:szCs w:val="21"/>
          <w:highlight w:val="none"/>
        </w:rPr>
        <w:t>.1招标文件发布后，在法律法规规定时限内，确需要变更招标文件内容的，招标人可主动或在解答投标人提出的澄清问题时对招标文件进行修改。招标人对</w:t>
      </w:r>
      <w:r>
        <w:rPr>
          <w:rFonts w:hint="eastAsia"/>
          <w:szCs w:val="21"/>
          <w:highlight w:val="none"/>
          <w:lang w:eastAsia="zh-CN"/>
        </w:rPr>
        <w:t>建设内容，</w:t>
      </w:r>
      <w:r>
        <w:rPr>
          <w:szCs w:val="21"/>
          <w:highlight w:val="none"/>
        </w:rPr>
        <w:t>评标方法、评审项目等重要评审内容</w:t>
      </w:r>
      <w:r>
        <w:rPr>
          <w:rFonts w:hint="eastAsia"/>
          <w:szCs w:val="21"/>
          <w:highlight w:val="none"/>
          <w:lang w:eastAsia="zh-CN"/>
        </w:rPr>
        <w:t>或最高投标限价</w:t>
      </w:r>
      <w:r>
        <w:rPr>
          <w:szCs w:val="21"/>
          <w:highlight w:val="none"/>
        </w:rPr>
        <w:t>作出变更，要</w:t>
      </w:r>
      <w:r>
        <w:rPr>
          <w:rFonts w:hint="eastAsia"/>
          <w:szCs w:val="21"/>
          <w:highlight w:val="none"/>
          <w:lang w:eastAsia="zh-CN"/>
        </w:rPr>
        <w:t>更新交易网上相关资料</w:t>
      </w:r>
      <w:r>
        <w:rPr>
          <w:szCs w:val="21"/>
          <w:highlight w:val="none"/>
        </w:rPr>
        <w:t>，同时发布补遗文件说明，便于各投标人重新编制电子投标文件。</w:t>
      </w:r>
    </w:p>
    <w:p>
      <w:pPr>
        <w:adjustRightInd w:val="0"/>
        <w:snapToGrid w:val="0"/>
        <w:spacing w:line="360" w:lineRule="auto"/>
        <w:ind w:firstLine="420" w:firstLineChars="200"/>
        <w:rPr>
          <w:szCs w:val="21"/>
          <w:highlight w:val="none"/>
        </w:rPr>
      </w:pPr>
      <w:r>
        <w:rPr>
          <w:rFonts w:hint="eastAsia"/>
          <w:szCs w:val="21"/>
          <w:highlight w:val="none"/>
          <w:lang w:val="en-US" w:eastAsia="zh-CN"/>
        </w:rPr>
        <w:t>1.3</w:t>
      </w:r>
      <w:r>
        <w:rPr>
          <w:szCs w:val="21"/>
          <w:highlight w:val="none"/>
        </w:rPr>
        <w:t>.2招标文件的修改将在交易网发布，招标文件的修改作为招标文件的组成部分，并具有约束力。投标人应在截标时间前随时查看有关该工程招标文件的答疑、补遗内容。否则，由此引起的投标损失自负。</w:t>
      </w:r>
    </w:p>
    <w:p>
      <w:pPr>
        <w:adjustRightInd w:val="0"/>
        <w:snapToGrid w:val="0"/>
        <w:spacing w:line="360" w:lineRule="auto"/>
        <w:ind w:firstLine="420" w:firstLineChars="200"/>
        <w:rPr>
          <w:szCs w:val="21"/>
          <w:highlight w:val="none"/>
        </w:rPr>
      </w:pPr>
      <w:r>
        <w:rPr>
          <w:rFonts w:hint="eastAsia"/>
          <w:szCs w:val="21"/>
          <w:highlight w:val="none"/>
          <w:lang w:val="en-US" w:eastAsia="zh-CN"/>
        </w:rPr>
        <w:t>1.3</w:t>
      </w:r>
      <w:r>
        <w:rPr>
          <w:szCs w:val="21"/>
          <w:highlight w:val="none"/>
        </w:rPr>
        <w:t>.3招标文件、招标文件澄清（答疑）纪要、招标文件修改（补充）文件内容均以网上发布的为准。当招标文件、澄清（答疑）纪要、修改（补充）函件内容相互矛盾时，以最后发出的为准。但是澄清（答疑）纪要、修改（补充）函件中存在否决性条款时，须由招标人重新编写《投标文件否决性条款》，将列入所增加的否决性条款。否则，仍应以先前发出的《投标文件否决性条款》为准，新增加的否决性条款无效。</w:t>
      </w:r>
    </w:p>
    <w:p>
      <w:pPr>
        <w:adjustRightInd w:val="0"/>
        <w:snapToGrid w:val="0"/>
        <w:spacing w:line="360" w:lineRule="auto"/>
        <w:ind w:firstLine="420" w:firstLineChars="200"/>
        <w:rPr>
          <w:szCs w:val="21"/>
          <w:highlight w:val="none"/>
        </w:rPr>
      </w:pPr>
      <w:r>
        <w:rPr>
          <w:rFonts w:hint="eastAsia"/>
          <w:szCs w:val="21"/>
          <w:highlight w:val="none"/>
          <w:lang w:val="en-US" w:eastAsia="zh-CN"/>
        </w:rPr>
        <w:t>1.3</w:t>
      </w:r>
      <w:r>
        <w:rPr>
          <w:szCs w:val="21"/>
          <w:highlight w:val="none"/>
        </w:rPr>
        <w:t>.4招标人保证招标文件澄清（答疑）纪要、招标文件修改（补充）文件在法律法规的规定时限前在交易网发布。为使投标人在编写投标文件时有充分时间对招标文件的修改（补充）部分进行研究，招标人可以酌情延长递交投标文件的截止日期，具体时间将在修改（补充）文件中明确。</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szCs w:val="21"/>
          <w:highlight w:val="none"/>
          <w:lang w:val="en-US" w:eastAsia="zh-CN"/>
        </w:rPr>
        <w:t>1.3</w:t>
      </w:r>
      <w:r>
        <w:rPr>
          <w:szCs w:val="21"/>
          <w:highlight w:val="none"/>
        </w:rPr>
        <w:t>.5在招标文件确定的提交投标文件截止时间后，招标人不得再变更或修改招标文件确定的评标及定标方法。</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szCs w:val="21"/>
          <w:highlight w:val="none"/>
          <w:lang w:val="en-US" w:eastAsia="zh-CN"/>
        </w:rPr>
        <w:t>1.3</w:t>
      </w:r>
      <w:r>
        <w:rPr>
          <w:rFonts w:hint="eastAsia" w:ascii="宋体" w:hAnsi="宋体"/>
          <w:color w:val="000000" w:themeColor="text1"/>
          <w:kern w:val="0"/>
          <w:szCs w:val="21"/>
          <w:highlight w:val="none"/>
          <w:lang w:val="en-US" w:eastAsia="zh-CN"/>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招标文件的补充文件是招标文件的组成部分。当招标文件与补充文件的内容不一致时，以补充文件为准；当补充文件之间的内容不一致时，以最后发出的文件为准。</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szCs w:val="21"/>
          <w:highlight w:val="none"/>
          <w:lang w:val="en-US" w:eastAsia="zh-CN"/>
        </w:rPr>
        <w:t>1.3</w:t>
      </w:r>
      <w:r>
        <w:rPr>
          <w:rFonts w:hint="eastAsia" w:ascii="宋体" w:hAnsi="宋体"/>
          <w:color w:val="000000" w:themeColor="text1"/>
          <w:kern w:val="0"/>
          <w:szCs w:val="21"/>
          <w:highlight w:val="none"/>
          <w:lang w:val="en-US" w:eastAsia="zh-CN"/>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为确保投标人有充分时间对招标文件修改内容进行研究，招标人可酌情延长投标截止时间，并在招标文件补充文件中予以明确。</w:t>
      </w:r>
    </w:p>
    <w:p>
      <w:pPr>
        <w:rPr>
          <w:rFonts w:hint="eastAsia" w:ascii="宋体" w:hAnsi="宋体"/>
          <w:b/>
          <w:kern w:val="0"/>
          <w:sz w:val="30"/>
          <w:highlight w:val="none"/>
        </w:rPr>
      </w:pPr>
      <w:bookmarkStart w:id="16" w:name="_Toc17700"/>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（二）投标</w:t>
      </w:r>
      <w:bookmarkEnd w:id="16"/>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文件编制语言、度量单位</w:t>
      </w:r>
    </w:p>
    <w:p>
      <w:pPr>
        <w:numPr>
          <w:ilvl w:val="0"/>
          <w:numId w:val="0"/>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lang w:val="en-US" w:eastAsia="zh-CN"/>
        </w:rPr>
        <w:t>2.1.1</w:t>
      </w:r>
      <w:r>
        <w:rPr>
          <w:rFonts w:hint="eastAsia" w:ascii="宋体" w:hAnsi="宋体"/>
          <w:kern w:val="0"/>
          <w:szCs w:val="21"/>
          <w:highlight w:val="none"/>
        </w:rPr>
        <w:t>投标人与招标人之间与投标有关的所有往来通知、函件和投标文件，均应使用中文。投标文件中的外文专业术语，须附上其中文注释。投标人随投标文件提供的证明资料、支持文件等，若有采用其他语言表述的，则必须附有中文译文（否则该资料可以不予认可，由此导致不利后果的，由投标人自行承担）。对投标文件的最终解释，将以中文或中文译文为准。</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1.2除工程建设标准及技术要求另有规定外，投标文件所使用度量单位，均采用中华人民共和国法定计量单位。</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.1.3涉及货币种类时，除特殊说明外，均指人民币。</w:t>
      </w:r>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投标人资格要求</w:t>
      </w:r>
    </w:p>
    <w:p>
      <w:pPr>
        <w:adjustRightInd w:val="0"/>
        <w:snapToGrid w:val="0"/>
        <w:spacing w:line="360" w:lineRule="auto"/>
        <w:ind w:firstLine="420" w:firstLineChars="200"/>
        <w:jc w:val="left"/>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2.2.1 投标人应当具备承担本招标项目的能力；具备国家有关规定或者招标文件规定的资格条件；且通过合法途径取得招标文件。</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2.2.2关于联合体投标</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（1）由两个或两个以上法人组成一个联合体以一个投标人的身份共同投标时，应符合招标项目资质及其他相关要求；</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hAnsi="宋体"/>
          <w:color w:val="000000" w:themeColor="text1"/>
          <w:kern w:val="0"/>
          <w:szCs w:val="21"/>
          <w:highlight w:val="none"/>
          <w14:textFill>
            <w14:solidFill>
              <w14:schemeClr w14:val="tx1"/>
            </w14:solidFill>
          </w14:textFill>
        </w:rPr>
        <w:t>投标人的投标文件及中标后签署的合同协议书对联合体每一成员均具法律约束力；</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w:t>
      </w:r>
      <w:r>
        <w:rPr>
          <w:rFonts w:hint="eastAsia" w:hAnsi="宋体"/>
          <w:color w:val="000000" w:themeColor="text1"/>
          <w:kern w:val="0"/>
          <w:szCs w:val="21"/>
          <w:highlight w:val="none"/>
          <w14:textFill>
            <w14:solidFill>
              <w14:schemeClr w14:val="tx1"/>
            </w14:solidFill>
          </w14:textFill>
        </w:rPr>
        <w:t>联合体的各成员应当签订共同投标协议，明确约定各方拟承担的工作和责任，并将该共同投标协议随投标文件一并递交给招标人；</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w:t>
      </w:r>
      <w:r>
        <w:rPr>
          <w:rFonts w:hint="eastAsia" w:hAnsi="宋体"/>
          <w:color w:val="000000" w:themeColor="text1"/>
          <w:kern w:val="0"/>
          <w:szCs w:val="21"/>
          <w:highlight w:val="none"/>
          <w14:textFill>
            <w14:solidFill>
              <w14:schemeClr w14:val="tx1"/>
            </w14:solidFill>
          </w14:textFill>
        </w:rPr>
        <w:t>联合体中标后，联合体各方应当共同与招标人签订合同，为履行合同向招标人承担连带责任；</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hAnsi="宋体"/>
          <w:color w:val="000000" w:themeColor="text1"/>
          <w:kern w:val="0"/>
          <w:szCs w:val="21"/>
          <w:highlight w:val="none"/>
          <w14:textFill>
            <w14:solidFill>
              <w14:schemeClr w14:val="tx1"/>
            </w14:solidFill>
          </w14:textFill>
        </w:rPr>
        <w:t>由联合体的各成员提交一份授权书，证明联合体代表资格，该授权书作为投标文件的组成部分一并提交给招标人；</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w:t>
      </w:r>
      <w:r>
        <w:rPr>
          <w:rFonts w:hint="eastAsia" w:hAnsi="宋体"/>
          <w:color w:val="000000" w:themeColor="text1"/>
          <w:kern w:val="0"/>
          <w:szCs w:val="21"/>
          <w:highlight w:val="none"/>
          <w14:textFill>
            <w14:solidFill>
              <w14:schemeClr w14:val="tx1"/>
            </w14:solidFill>
          </w14:textFill>
        </w:rPr>
        <w:t>联合体主体作为联合体所有成员的代表承担责任和接受指令，并负责整个合同的全面履行；</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w:t>
      </w:r>
      <w:r>
        <w:rPr>
          <w:rFonts w:hint="eastAsia" w:hAnsi="宋体"/>
          <w:color w:val="000000" w:themeColor="text1"/>
          <w:kern w:val="0"/>
          <w:szCs w:val="21"/>
          <w:highlight w:val="none"/>
          <w14:textFill>
            <w14:solidFill>
              <w14:schemeClr w14:val="tx1"/>
            </w14:solidFill>
          </w14:textFill>
        </w:rPr>
        <w:t>参加联合体的各成员不得再以自己的名义单独投标，也不得同时参加两个或两个以上的联合体投标。</w:t>
      </w:r>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投标文件的编制</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b/>
          <w:bCs/>
          <w:kern w:val="0"/>
          <w:szCs w:val="21"/>
          <w:highlight w:val="none"/>
        </w:rPr>
        <w:t>投标文件的组成</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lang w:val="en-US" w:eastAsia="zh-CN"/>
        </w:rPr>
        <w:t>2.3.1</w:t>
      </w:r>
      <w:r>
        <w:rPr>
          <w:rFonts w:hint="eastAsia" w:ascii="宋体" w:hAnsi="宋体"/>
          <w:kern w:val="0"/>
          <w:szCs w:val="21"/>
          <w:highlight w:val="none"/>
        </w:rPr>
        <w:t>投标文件全部采用电子文档，由监理资格审查文件</w:t>
      </w:r>
      <w:r>
        <w:rPr>
          <w:rFonts w:hint="eastAsia" w:ascii="宋体" w:hAnsi="宋体"/>
          <w:kern w:val="0"/>
          <w:szCs w:val="21"/>
          <w:highlight w:val="none"/>
          <w:lang w:eastAsia="zh-CN"/>
        </w:rPr>
        <w:t>、</w:t>
      </w:r>
      <w:r>
        <w:rPr>
          <w:rFonts w:hint="eastAsia" w:ascii="宋体" w:hAnsi="宋体"/>
          <w:kern w:val="0"/>
          <w:szCs w:val="21"/>
          <w:highlight w:val="none"/>
        </w:rPr>
        <w:t>资信标、技术标和商务标</w:t>
      </w:r>
      <w:r>
        <w:rPr>
          <w:rFonts w:hint="eastAsia" w:ascii="宋体" w:hAnsi="宋体"/>
          <w:kern w:val="0"/>
          <w:szCs w:val="21"/>
          <w:highlight w:val="none"/>
          <w:lang w:eastAsia="zh-CN"/>
        </w:rPr>
        <w:t>四</w:t>
      </w:r>
      <w:r>
        <w:rPr>
          <w:rFonts w:hint="eastAsia" w:ascii="宋体" w:hAnsi="宋体"/>
          <w:kern w:val="0"/>
          <w:szCs w:val="21"/>
          <w:highlight w:val="none"/>
        </w:rPr>
        <w:t>部分组成。网上提交投标文件时，直接通过交易网上传投标文件。</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lang w:val="en-US" w:eastAsia="zh-CN"/>
        </w:rPr>
        <w:t>2.3</w:t>
      </w:r>
      <w:r>
        <w:rPr>
          <w:rFonts w:hint="eastAsia" w:ascii="宋体" w:hAnsi="宋体"/>
          <w:kern w:val="0"/>
          <w:szCs w:val="21"/>
          <w:highlight w:val="none"/>
        </w:rPr>
        <w:t>.2资格审查文件主要包括下列内容（扫描件）：</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kern w:val="0"/>
          <w:szCs w:val="21"/>
          <w:highlight w:val="none"/>
          <w:lang w:val="en-US" w:eastAsia="zh-CN"/>
        </w:rPr>
        <w:t>2.3</w:t>
      </w:r>
      <w:r>
        <w:rPr>
          <w:rFonts w:hint="eastAsia" w:ascii="宋体" w:hAnsi="宋体"/>
          <w:snapToGrid w:val="0"/>
          <w:kern w:val="0"/>
          <w:highlight w:val="none"/>
        </w:rPr>
        <w:t>.</w:t>
      </w:r>
      <w:r>
        <w:rPr>
          <w:rFonts w:hint="eastAsia" w:ascii="宋体" w:hAnsi="宋体"/>
          <w:snapToGrid w:val="0"/>
          <w:kern w:val="0"/>
          <w:highlight w:val="none"/>
          <w:lang w:val="en-US" w:eastAsia="zh-CN"/>
        </w:rPr>
        <w:t>3</w:t>
      </w:r>
      <w:r>
        <w:rPr>
          <w:rFonts w:hint="eastAsia" w:ascii="宋体" w:hAnsi="宋体"/>
          <w:snapToGrid w:val="0"/>
          <w:kern w:val="0"/>
          <w:highlight w:val="none"/>
        </w:rPr>
        <w:t>投标人《</w:t>
      </w:r>
      <w:r>
        <w:rPr>
          <w:rFonts w:hint="eastAsia" w:ascii="宋体" w:hAnsi="宋体"/>
          <w:snapToGrid w:val="0"/>
          <w:kern w:val="0"/>
          <w:highlight w:val="none"/>
          <w:lang w:eastAsia="zh-CN"/>
        </w:rPr>
        <w:t>统一社会信用代码证</w:t>
      </w:r>
      <w:r>
        <w:rPr>
          <w:rFonts w:hint="eastAsia" w:ascii="宋体" w:hAnsi="宋体"/>
          <w:snapToGrid w:val="0"/>
          <w:kern w:val="0"/>
          <w:highlight w:val="none"/>
        </w:rPr>
        <w:t>》；</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snapToGrid w:val="0"/>
          <w:kern w:val="0"/>
          <w:highlight w:val="none"/>
          <w:lang w:val="en-US" w:eastAsia="zh-CN"/>
        </w:rPr>
        <w:t>2.3.4</w:t>
      </w:r>
      <w:r>
        <w:rPr>
          <w:rFonts w:hint="eastAsia" w:ascii="宋体" w:hAnsi="宋体"/>
          <w:snapToGrid w:val="0"/>
          <w:kern w:val="0"/>
          <w:highlight w:val="none"/>
        </w:rPr>
        <w:t>投标人《工程监理资质证书》；</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kern w:val="0"/>
          <w:szCs w:val="21"/>
          <w:highlight w:val="none"/>
          <w:lang w:val="en-US" w:eastAsia="zh-CN"/>
        </w:rPr>
        <w:t>2.3.5</w:t>
      </w:r>
      <w:r>
        <w:rPr>
          <w:rFonts w:hint="eastAsia" w:ascii="宋体" w:hAnsi="宋体"/>
          <w:snapToGrid w:val="0"/>
          <w:kern w:val="0"/>
          <w:highlight w:val="none"/>
        </w:rPr>
        <w:t>项目总监执业资格注册证书扫描件；</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kern w:val="0"/>
          <w:szCs w:val="21"/>
          <w:highlight w:val="none"/>
          <w:lang w:val="en-US" w:eastAsia="zh-CN"/>
        </w:rPr>
        <w:t>2.3.7</w:t>
      </w:r>
      <w:r>
        <w:rPr>
          <w:rFonts w:hint="eastAsia" w:ascii="宋体" w:hAnsi="宋体"/>
          <w:snapToGrid w:val="0"/>
          <w:kern w:val="0"/>
          <w:highlight w:val="none"/>
        </w:rPr>
        <w:t>招标</w:t>
      </w:r>
      <w:r>
        <w:rPr>
          <w:rFonts w:hint="eastAsia" w:ascii="宋体" w:hAnsi="宋体"/>
          <w:kern w:val="0"/>
          <w:szCs w:val="21"/>
          <w:highlight w:val="none"/>
        </w:rPr>
        <w:t>人要求提供的与投标人条件审查有关的其他资格证明材料：（必须详细、明确、足以证明资格条件）。</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2.3.8</w:t>
      </w:r>
      <w:r>
        <w:rPr>
          <w:rFonts w:hint="eastAsia" w:ascii="宋体" w:hAnsi="宋体"/>
          <w:snapToGrid w:val="0"/>
          <w:kern w:val="0"/>
          <w:szCs w:val="21"/>
          <w:highlight w:val="none"/>
        </w:rPr>
        <w:t>资信标部分主要内容：详见招标文件“资信标要求一览表”。</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2.3.9</w:t>
      </w:r>
      <w:r>
        <w:rPr>
          <w:rFonts w:hint="eastAsia" w:ascii="宋体" w:hAnsi="宋体"/>
          <w:snapToGrid w:val="0"/>
          <w:kern w:val="0"/>
          <w:szCs w:val="21"/>
          <w:highlight w:val="none"/>
        </w:rPr>
        <w:t>监理投标文件商务标部分主要包括以下内容及格式：</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2.3.10</w:t>
      </w:r>
      <w:r>
        <w:rPr>
          <w:rFonts w:hint="eastAsia" w:ascii="宋体" w:hAnsi="宋体"/>
          <w:snapToGrid w:val="0"/>
          <w:kern w:val="0"/>
          <w:szCs w:val="21"/>
          <w:highlight w:val="none"/>
        </w:rPr>
        <w:t>工程监理收费报价书；</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2.3.11</w:t>
      </w:r>
      <w:r>
        <w:rPr>
          <w:rFonts w:hint="eastAsia" w:ascii="宋体" w:hAnsi="宋体"/>
          <w:snapToGrid w:val="0"/>
          <w:kern w:val="0"/>
          <w:szCs w:val="21"/>
          <w:highlight w:val="none"/>
        </w:rPr>
        <w:t>投标承诺书；</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2.3.12</w:t>
      </w:r>
      <w:r>
        <w:rPr>
          <w:rFonts w:hint="eastAsia" w:ascii="宋体" w:hAnsi="宋体"/>
          <w:snapToGrid w:val="0"/>
          <w:kern w:val="0"/>
          <w:szCs w:val="21"/>
          <w:highlight w:val="none"/>
        </w:rPr>
        <w:t xml:space="preserve">项目管理班子人员配备（若技术标有同步提供，则与技术标一致）； </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2.3.13</w:t>
      </w:r>
      <w:r>
        <w:rPr>
          <w:rFonts w:hint="eastAsia" w:ascii="宋体" w:hAnsi="宋体"/>
          <w:snapToGrid w:val="0"/>
          <w:kern w:val="0"/>
          <w:szCs w:val="21"/>
          <w:highlight w:val="none"/>
        </w:rPr>
        <w:t>投标人拟投入监理仪器、设备计划表（若技术标有同步提供，则与技术标一致）；</w:t>
      </w:r>
    </w:p>
    <w:p>
      <w:pPr>
        <w:adjustRightInd w:val="0"/>
        <w:snapToGrid w:val="0"/>
        <w:spacing w:line="360" w:lineRule="auto"/>
        <w:ind w:firstLine="420" w:firstLineChars="200"/>
        <w:jc w:val="left"/>
        <w:rPr>
          <w:rFonts w:ascii="宋体" w:hAnsi="宋体"/>
          <w:snapToGrid w:val="0"/>
          <w:kern w:val="0"/>
          <w:szCs w:val="21"/>
          <w:highlight w:val="none"/>
        </w:rPr>
      </w:pPr>
      <w:r>
        <w:rPr>
          <w:rFonts w:hint="eastAsia" w:ascii="宋体" w:hAnsi="宋体"/>
          <w:kern w:val="0"/>
          <w:szCs w:val="21"/>
          <w:highlight w:val="none"/>
          <w:lang w:val="en-US" w:eastAsia="zh-CN"/>
        </w:rPr>
        <w:t>2.3.14</w:t>
      </w:r>
      <w:r>
        <w:rPr>
          <w:rFonts w:hint="eastAsia" w:ascii="宋体" w:hAnsi="宋体"/>
          <w:snapToGrid w:val="0"/>
          <w:kern w:val="0"/>
          <w:szCs w:val="21"/>
          <w:highlight w:val="none"/>
        </w:rPr>
        <w:t>招标文件要求提交的其他材料。</w:t>
      </w:r>
    </w:p>
    <w:p>
      <w:pPr>
        <w:adjustRightInd w:val="0"/>
        <w:snapToGrid w:val="0"/>
        <w:spacing w:line="360" w:lineRule="auto"/>
        <w:ind w:firstLine="420" w:firstLineChars="200"/>
        <w:jc w:val="left"/>
        <w:rPr>
          <w:rFonts w:ascii="宋体" w:hAnsi="宋体" w:cs="宋体"/>
          <w:snapToGrid w:val="0"/>
          <w:kern w:val="0"/>
          <w:szCs w:val="21"/>
          <w:highlight w:val="none"/>
        </w:rPr>
      </w:pPr>
      <w:r>
        <w:rPr>
          <w:rFonts w:hint="eastAsia" w:ascii="宋体" w:hAnsi="宋体"/>
          <w:kern w:val="0"/>
          <w:szCs w:val="21"/>
          <w:highlight w:val="none"/>
          <w:lang w:val="en-US" w:eastAsia="zh-CN"/>
        </w:rPr>
        <w:t>2.3.15</w:t>
      </w:r>
      <w:r>
        <w:rPr>
          <w:rFonts w:hint="eastAsia" w:ascii="宋体" w:hAnsi="宋体" w:cs="宋体"/>
          <w:snapToGrid w:val="0"/>
          <w:kern w:val="0"/>
          <w:szCs w:val="21"/>
          <w:highlight w:val="none"/>
        </w:rPr>
        <w:t>监理投标文件技术标部分主要包括以下内容：</w:t>
      </w:r>
    </w:p>
    <w:p>
      <w:pPr>
        <w:adjustRightInd w:val="0"/>
        <w:snapToGrid w:val="0"/>
        <w:spacing w:line="360" w:lineRule="auto"/>
        <w:ind w:firstLine="420" w:firstLineChars="200"/>
        <w:jc w:val="left"/>
        <w:rPr>
          <w:rFonts w:hint="eastAsia" w:ascii="宋体" w:hAnsi="宋体" w:cs="宋体" w:eastAsiaTheme="minorEastAsia"/>
          <w:snapToGrid w:val="0"/>
          <w:kern w:val="0"/>
          <w:highlight w:val="none"/>
          <w:lang w:val="en-US" w:eastAsia="zh-CN"/>
        </w:rPr>
      </w:pPr>
      <w:r>
        <w:rPr>
          <w:rFonts w:hint="eastAsia" w:ascii="宋体" w:hAnsi="宋体"/>
          <w:kern w:val="0"/>
          <w:szCs w:val="21"/>
          <w:highlight w:val="none"/>
          <w:lang w:val="en-US" w:eastAsia="zh-CN"/>
        </w:rPr>
        <w:t>(1)</w:t>
      </w:r>
      <w:r>
        <w:rPr>
          <w:rFonts w:hint="eastAsia" w:ascii="宋体" w:hAnsi="宋体" w:cs="宋体"/>
          <w:snapToGrid w:val="0"/>
          <w:kern w:val="0"/>
          <w:highlight w:val="none"/>
        </w:rPr>
        <w:t>技术标的格式及内容要求</w:t>
      </w:r>
      <w:r>
        <w:rPr>
          <w:rFonts w:hint="eastAsia" w:ascii="宋体" w:hAnsi="宋体" w:cs="宋体"/>
          <w:snapToGrid w:val="0"/>
          <w:kern w:val="0"/>
          <w:highlight w:val="none"/>
          <w:lang w:val="en-US" w:eastAsia="zh-CN"/>
        </w:rPr>
        <w:t>。</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val="en-US" w:eastAsia="zh-CN"/>
          <w14:textFill>
            <w14:solidFill>
              <w14:schemeClr w14:val="tx1"/>
            </w14:solidFill>
          </w14:textFill>
        </w:rPr>
      </w:pPr>
      <w:r>
        <w:rPr>
          <w:rFonts w:hint="eastAsia" w:ascii="宋体" w:hAnsi="宋体"/>
          <w:color w:val="000000" w:themeColor="text1"/>
          <w:kern w:val="0"/>
          <w:szCs w:val="21"/>
          <w:highlight w:val="none"/>
          <w:lang w:val="en-US" w:eastAsia="zh-CN"/>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投标文件的签署</w:t>
      </w:r>
      <w:r>
        <w:rPr>
          <w:rFonts w:hint="eastAsia" w:ascii="宋体" w:hAnsi="宋体"/>
          <w:color w:val="000000" w:themeColor="text1"/>
          <w:kern w:val="0"/>
          <w:szCs w:val="21"/>
          <w:highlight w:val="none"/>
          <w:lang w:val="en-US" w:eastAsia="zh-CN"/>
          <w14:textFill>
            <w14:solidFill>
              <w14:schemeClr w14:val="tx1"/>
            </w14:solidFill>
          </w14:textFill>
        </w:rPr>
        <w:t>。</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投标文件必须使用投标人的机构数字证书进行签名。</w:t>
      </w:r>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对招标文件</w:t>
      </w:r>
      <w:r>
        <w:rPr>
          <w:rFonts w:hint="eastAsia" w:ascii="宋体" w:hAnsi="宋体"/>
          <w:b/>
          <w:kern w:val="0"/>
          <w:highlight w:val="none"/>
          <w:lang w:eastAsia="zh-CN"/>
        </w:rPr>
        <w:t>获取</w:t>
      </w:r>
      <w:r>
        <w:rPr>
          <w:rFonts w:hint="eastAsia" w:ascii="宋体" w:hAnsi="宋体"/>
          <w:b/>
          <w:kern w:val="0"/>
          <w:highlight w:val="none"/>
        </w:rPr>
        <w:t>及质疑</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2.4.1投标人</w:t>
      </w:r>
      <w:r>
        <w:rPr>
          <w:rFonts w:hint="eastAsia" w:ascii="宋体" w:hAnsi="宋体"/>
          <w:color w:val="000000" w:themeColor="text1"/>
          <w:kern w:val="0"/>
          <w:szCs w:val="21"/>
          <w:highlight w:val="none"/>
          <w:lang w:eastAsia="zh-CN"/>
          <w14:textFill>
            <w14:solidFill>
              <w14:schemeClr w14:val="tx1"/>
            </w14:solidFill>
          </w14:textFill>
        </w:rPr>
        <w:t>在交易网</w:t>
      </w:r>
      <w:r>
        <w:rPr>
          <w:rFonts w:hint="eastAsia" w:ascii="宋体" w:hAnsi="宋体"/>
          <w:color w:val="000000" w:themeColor="text1"/>
          <w:kern w:val="0"/>
          <w:szCs w:val="21"/>
          <w:highlight w:val="none"/>
          <w14:textFill>
            <w14:solidFill>
              <w14:schemeClr w14:val="tx1"/>
            </w14:solidFill>
          </w14:textFill>
        </w:rPr>
        <w:t>获取招标文件后，应仔细检查招标文件是否完整。如有残缺，应在获取招标文件后</w:t>
      </w:r>
      <w:r>
        <w:rPr>
          <w:rFonts w:hint="eastAsia" w:ascii="宋体" w:hAnsi="宋体"/>
          <w:color w:val="000000" w:themeColor="text1"/>
          <w:kern w:val="0"/>
          <w:szCs w:val="21"/>
          <w:highlight w:val="none"/>
          <w:lang w:eastAsia="zh-CN"/>
          <w14:textFill>
            <w14:solidFill>
              <w14:schemeClr w14:val="tx1"/>
            </w14:solidFill>
          </w14:textFill>
        </w:rPr>
        <w:t>3个工作日</w:t>
      </w:r>
      <w:r>
        <w:rPr>
          <w:rFonts w:hint="eastAsia" w:ascii="宋体" w:hAnsi="宋体"/>
          <w:color w:val="000000" w:themeColor="text1"/>
          <w:kern w:val="0"/>
          <w:szCs w:val="21"/>
          <w:highlight w:val="none"/>
          <w14:textFill>
            <w14:solidFill>
              <w14:schemeClr w14:val="tx1"/>
            </w14:solidFill>
          </w14:textFill>
        </w:rPr>
        <w:t>内向招标人提出，以便补齐。否则，由此导致不利后果的，由投标人自己承担。</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2.4.2投标人对招标文件若有其他疑问，应于前附表规定的时间和方式向招标人提出，逾期不予受理。</w:t>
      </w:r>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投标有效期</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2.5.1</w:t>
      </w:r>
      <w:r>
        <w:rPr>
          <w:rFonts w:hint="eastAsia" w:hAnsi="宋体"/>
          <w:color w:val="000000" w:themeColor="text1"/>
          <w:kern w:val="0"/>
          <w:szCs w:val="21"/>
          <w:highlight w:val="none"/>
          <w14:textFill>
            <w14:solidFill>
              <w14:schemeClr w14:val="tx1"/>
            </w14:solidFill>
          </w14:textFill>
        </w:rPr>
        <w:t>投标有效期按法律法规规定期限内，所有投标文件均保持有效。</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2.5.2</w:t>
      </w:r>
      <w:r>
        <w:rPr>
          <w:szCs w:val="21"/>
          <w:highlight w:val="none"/>
        </w:rPr>
        <w:t>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投标担保</w:t>
      </w:r>
    </w:p>
    <w:p>
      <w:pPr>
        <w:adjustRightInd w:val="0"/>
        <w:snapToGrid w:val="0"/>
        <w:spacing w:line="360" w:lineRule="auto"/>
        <w:ind w:firstLine="420" w:firstLineChars="200"/>
        <w:rPr>
          <w:szCs w:val="21"/>
          <w:highlight w:val="none"/>
        </w:rPr>
      </w:pPr>
      <w:r>
        <w:rPr>
          <w:rFonts w:hint="eastAsia"/>
          <w:szCs w:val="21"/>
          <w:highlight w:val="none"/>
          <w:lang w:val="en-US" w:eastAsia="zh-CN"/>
        </w:rPr>
        <w:t>2.6</w:t>
      </w:r>
      <w:r>
        <w:rPr>
          <w:szCs w:val="21"/>
          <w:highlight w:val="none"/>
        </w:rPr>
        <w:t>.1投标人应在递交投标文件的同时提交一笔不少于法律法规规定数额的投标保证金（不得超过招标项目</w:t>
      </w:r>
      <w:r>
        <w:rPr>
          <w:rFonts w:hint="eastAsia"/>
          <w:szCs w:val="21"/>
          <w:highlight w:val="none"/>
          <w:lang w:eastAsia="zh-CN"/>
        </w:rPr>
        <w:t>控制</w:t>
      </w:r>
      <w:r>
        <w:rPr>
          <w:szCs w:val="21"/>
          <w:highlight w:val="none"/>
        </w:rPr>
        <w:t>价的2%</w:t>
      </w:r>
      <w:r>
        <w:rPr>
          <w:rFonts w:hint="eastAsia"/>
          <w:szCs w:val="21"/>
          <w:highlight w:val="none"/>
        </w:rPr>
        <w:t>，最高不得超过50万元</w:t>
      </w:r>
      <w:r>
        <w:rPr>
          <w:szCs w:val="21"/>
          <w:highlight w:val="none"/>
        </w:rPr>
        <w:t>）</w:t>
      </w:r>
      <w:r>
        <w:rPr>
          <w:rFonts w:hint="eastAsia"/>
          <w:szCs w:val="21"/>
          <w:highlight w:val="none"/>
        </w:rPr>
        <w:t>、</w:t>
      </w:r>
      <w:r>
        <w:rPr>
          <w:szCs w:val="21"/>
          <w:highlight w:val="none"/>
        </w:rPr>
        <w:t>等同投标保证金的投标保函，作为其投标的一部分。投标担保是为了避免招标人因投标人的行为而蒙受损失，招标人可根据本须知规定的条件没收投标保证金或投标保函。</w:t>
      </w:r>
    </w:p>
    <w:p>
      <w:pPr>
        <w:adjustRightInd w:val="0"/>
        <w:snapToGrid w:val="0"/>
        <w:spacing w:line="360" w:lineRule="auto"/>
        <w:ind w:firstLine="420" w:firstLineChars="200"/>
        <w:rPr>
          <w:szCs w:val="21"/>
          <w:highlight w:val="none"/>
        </w:rPr>
      </w:pPr>
      <w:r>
        <w:rPr>
          <w:rFonts w:hint="eastAsia"/>
          <w:szCs w:val="21"/>
          <w:highlight w:val="none"/>
          <w:lang w:val="en-US" w:eastAsia="zh-CN"/>
        </w:rPr>
        <w:t>2.6</w:t>
      </w:r>
      <w:r>
        <w:rPr>
          <w:szCs w:val="21"/>
          <w:highlight w:val="none"/>
        </w:rPr>
        <w:t>.2投标人应按前附表要求提交投标担保</w:t>
      </w:r>
      <w:r>
        <w:rPr>
          <w:rFonts w:hint="eastAsia"/>
          <w:szCs w:val="21"/>
          <w:highlight w:val="none"/>
        </w:rPr>
        <w:t>，无需同时提供银行上下级关系隶属证明或基本账户开户证明，中标后可根据招标人要求补充相关证明材料。</w:t>
      </w:r>
    </w:p>
    <w:p>
      <w:pPr>
        <w:adjustRightInd w:val="0"/>
        <w:snapToGrid w:val="0"/>
        <w:spacing w:line="360" w:lineRule="auto"/>
        <w:ind w:firstLine="420" w:firstLineChars="200"/>
        <w:rPr>
          <w:szCs w:val="21"/>
          <w:highlight w:val="none"/>
        </w:rPr>
      </w:pPr>
      <w:r>
        <w:rPr>
          <w:rFonts w:hint="eastAsia"/>
          <w:szCs w:val="21"/>
          <w:highlight w:val="none"/>
          <w:lang w:val="en-US" w:eastAsia="zh-CN"/>
        </w:rPr>
        <w:t>2.6</w:t>
      </w:r>
      <w:r>
        <w:rPr>
          <w:szCs w:val="21"/>
          <w:highlight w:val="none"/>
        </w:rPr>
        <w:t>.3投标保函应在投标有效期满后</w:t>
      </w:r>
      <w:r>
        <w:rPr>
          <w:rFonts w:hint="eastAsia"/>
          <w:szCs w:val="21"/>
          <w:highlight w:val="none"/>
          <w:lang w:val="en-US" w:eastAsia="zh-CN"/>
        </w:rPr>
        <w:t>30</w:t>
      </w:r>
      <w:r>
        <w:rPr>
          <w:szCs w:val="21"/>
          <w:highlight w:val="none"/>
        </w:rPr>
        <w:t>天内继续有效。</w:t>
      </w:r>
      <w:r>
        <w:rPr>
          <w:rFonts w:hint="eastAsia"/>
          <w:szCs w:val="21"/>
          <w:highlight w:val="none"/>
        </w:rPr>
        <w:t>投标人申请的电子保函出函时间应确保在截标之前。</w:t>
      </w:r>
    </w:p>
    <w:p>
      <w:pPr>
        <w:adjustRightInd w:val="0"/>
        <w:snapToGrid w:val="0"/>
        <w:spacing w:line="360" w:lineRule="auto"/>
        <w:ind w:firstLine="420" w:firstLineChars="200"/>
        <w:rPr>
          <w:szCs w:val="21"/>
          <w:highlight w:val="none"/>
        </w:rPr>
      </w:pPr>
      <w:r>
        <w:rPr>
          <w:rFonts w:hint="eastAsia"/>
          <w:szCs w:val="21"/>
          <w:highlight w:val="none"/>
          <w:lang w:val="en-US" w:eastAsia="zh-CN"/>
        </w:rPr>
        <w:t>2.6</w:t>
      </w:r>
      <w:r>
        <w:rPr>
          <w:szCs w:val="21"/>
          <w:highlight w:val="none"/>
        </w:rPr>
        <w:t>.5</w:t>
      </w:r>
      <w:r>
        <w:rPr>
          <w:rFonts w:hint="eastAsia"/>
          <w:szCs w:val="21"/>
          <w:highlight w:val="none"/>
        </w:rPr>
        <w:t>对于未能按要求提交投标担保的，投标文件将按有关条款不予受理。</w:t>
      </w:r>
    </w:p>
    <w:p>
      <w:pPr>
        <w:adjustRightInd w:val="0"/>
        <w:snapToGrid w:val="0"/>
        <w:spacing w:line="360" w:lineRule="auto"/>
        <w:ind w:firstLine="420" w:firstLineChars="200"/>
        <w:rPr>
          <w:szCs w:val="21"/>
          <w:highlight w:val="none"/>
        </w:rPr>
      </w:pPr>
      <w:r>
        <w:rPr>
          <w:rFonts w:hint="eastAsia"/>
          <w:szCs w:val="21"/>
          <w:highlight w:val="none"/>
          <w:lang w:val="en-US" w:eastAsia="zh-CN"/>
        </w:rPr>
        <w:t>2.6</w:t>
      </w:r>
      <w:r>
        <w:rPr>
          <w:szCs w:val="21"/>
          <w:highlight w:val="none"/>
        </w:rPr>
        <w:t>.6未中标的投标人的投标担保将按照招标人规定的投标有效期或经投标人同意的延长的投标有效期期满后</w:t>
      </w:r>
      <w:r>
        <w:rPr>
          <w:rFonts w:hint="eastAsia"/>
          <w:szCs w:val="21"/>
          <w:highlight w:val="none"/>
          <w:lang w:val="en-US" w:eastAsia="zh-CN"/>
        </w:rPr>
        <w:t>5</w:t>
      </w:r>
      <w:r>
        <w:rPr>
          <w:szCs w:val="21"/>
          <w:highlight w:val="none"/>
        </w:rPr>
        <w:t>天内予以退还。</w:t>
      </w:r>
    </w:p>
    <w:p>
      <w:pPr>
        <w:adjustRightInd w:val="0"/>
        <w:snapToGrid w:val="0"/>
        <w:spacing w:line="360" w:lineRule="auto"/>
        <w:ind w:firstLine="420" w:firstLineChars="200"/>
        <w:rPr>
          <w:szCs w:val="21"/>
          <w:highlight w:val="none"/>
        </w:rPr>
      </w:pPr>
      <w:r>
        <w:rPr>
          <w:rFonts w:hint="eastAsia"/>
          <w:szCs w:val="21"/>
          <w:highlight w:val="none"/>
          <w:lang w:val="en-US" w:eastAsia="zh-CN"/>
        </w:rPr>
        <w:t>2.6</w:t>
      </w:r>
      <w:r>
        <w:rPr>
          <w:szCs w:val="21"/>
          <w:highlight w:val="none"/>
        </w:rPr>
        <w:t>.7出现下列情形之一时，招标人应当在</w:t>
      </w:r>
      <w:r>
        <w:rPr>
          <w:rFonts w:hint="eastAsia"/>
          <w:szCs w:val="21"/>
          <w:highlight w:val="none"/>
          <w:lang w:val="en-US" w:eastAsia="zh-CN"/>
        </w:rPr>
        <w:t>5</w:t>
      </w:r>
      <w:r>
        <w:rPr>
          <w:szCs w:val="21"/>
          <w:highlight w:val="none"/>
        </w:rPr>
        <w:t>天内退还投标人的投标担保：</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lang w:val="en-US" w:eastAsia="zh-CN"/>
        </w:rPr>
        <w:t>2.6</w:t>
      </w:r>
      <w:r>
        <w:rPr>
          <w:szCs w:val="21"/>
          <w:highlight w:val="none"/>
        </w:rPr>
        <w:t>.7.1中标通知书发出，中标人签订了承包合同</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szCs w:val="21"/>
          <w:highlight w:val="none"/>
        </w:rPr>
        <w:t>23.7.2招标过程中招标活动因正当理由被招标人宣布终止</w:t>
      </w:r>
      <w:r>
        <w:rPr>
          <w:rFonts w:hint="eastAsia"/>
          <w:szCs w:val="21"/>
          <w:highlight w:val="none"/>
          <w:lang w:eastAsia="zh-CN"/>
        </w:rPr>
        <w:t>。</w:t>
      </w:r>
    </w:p>
    <w:p>
      <w:pPr>
        <w:adjustRightInd w:val="0"/>
        <w:snapToGrid w:val="0"/>
        <w:spacing w:line="360" w:lineRule="auto"/>
        <w:ind w:firstLine="420" w:firstLineChars="200"/>
        <w:rPr>
          <w:rFonts w:hint="eastAsia"/>
          <w:szCs w:val="21"/>
          <w:highlight w:val="none"/>
          <w:lang w:eastAsia="zh-CN"/>
        </w:rPr>
      </w:pPr>
      <w:r>
        <w:rPr>
          <w:szCs w:val="21"/>
          <w:highlight w:val="none"/>
        </w:rPr>
        <w:t>23.7.3招标失败需重新组织招标</w:t>
      </w:r>
      <w:r>
        <w:rPr>
          <w:rFonts w:hint="eastAsia"/>
          <w:szCs w:val="21"/>
          <w:highlight w:val="none"/>
          <w:lang w:eastAsia="zh-CN"/>
        </w:rPr>
        <w:t>。</w:t>
      </w:r>
    </w:p>
    <w:p>
      <w:pPr>
        <w:adjustRightInd w:val="0"/>
        <w:snapToGrid w:val="0"/>
        <w:spacing w:line="360" w:lineRule="auto"/>
        <w:ind w:firstLine="420" w:firstLineChars="200"/>
        <w:rPr>
          <w:szCs w:val="21"/>
          <w:highlight w:val="none"/>
        </w:rPr>
      </w:pPr>
      <w:r>
        <w:rPr>
          <w:szCs w:val="21"/>
          <w:highlight w:val="none"/>
        </w:rPr>
        <w:t>23.7.4投标有效期满而投标人不同意作出延长。</w:t>
      </w:r>
    </w:p>
    <w:p>
      <w:pPr>
        <w:adjustRightInd w:val="0"/>
        <w:snapToGrid w:val="0"/>
        <w:spacing w:line="360" w:lineRule="auto"/>
        <w:ind w:firstLine="420" w:firstLineChars="200"/>
        <w:rPr>
          <w:rFonts w:hint="eastAsia" w:eastAsiaTheme="minorEastAsia"/>
          <w:szCs w:val="21"/>
          <w:highlight w:val="none"/>
          <w:lang w:eastAsia="zh-CN"/>
        </w:rPr>
      </w:pPr>
      <w:r>
        <w:rPr>
          <w:szCs w:val="21"/>
          <w:highlight w:val="none"/>
        </w:rPr>
        <w:t>23.8投标人有下列任何情况发生时，投标担保</w:t>
      </w:r>
      <w:r>
        <w:rPr>
          <w:rFonts w:hint="eastAsia"/>
          <w:szCs w:val="21"/>
          <w:highlight w:val="none"/>
          <w:lang w:eastAsia="zh-CN"/>
        </w:rPr>
        <w:t>将</w:t>
      </w:r>
      <w:r>
        <w:rPr>
          <w:szCs w:val="21"/>
          <w:highlight w:val="none"/>
        </w:rPr>
        <w:t>被没收</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szCs w:val="21"/>
          <w:highlight w:val="none"/>
        </w:rPr>
        <w:t>23.8.1投标人有弄虚作假或串通投标等违法违规行为</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szCs w:val="21"/>
          <w:highlight w:val="none"/>
        </w:rPr>
        <w:t>23.8.2投标人在投标有效期内撤回其投标文件</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szCs w:val="21"/>
          <w:highlight w:val="none"/>
        </w:rPr>
        <w:t>23.8.3</w:t>
      </w:r>
      <w:r>
        <w:rPr>
          <w:rFonts w:hint="eastAsia"/>
          <w:szCs w:val="21"/>
          <w:highlight w:val="none"/>
        </w:rPr>
        <w:t>中标人无正当理由不与招标人订立合同，在签订合同时向招标人提出附加条件，或者不按照招标文件要求提交履约保证金的</w:t>
      </w:r>
      <w:r>
        <w:rPr>
          <w:rFonts w:hint="eastAsia"/>
          <w:szCs w:val="21"/>
          <w:highlight w:val="none"/>
          <w:lang w:eastAsia="zh-CN"/>
        </w:rPr>
        <w:t>。</w:t>
      </w:r>
    </w:p>
    <w:p>
      <w:pPr>
        <w:adjustRightInd w:val="0"/>
        <w:snapToGrid w:val="0"/>
        <w:spacing w:line="360" w:lineRule="auto"/>
        <w:ind w:firstLine="420" w:firstLineChars="200"/>
        <w:rPr>
          <w:szCs w:val="21"/>
          <w:highlight w:val="none"/>
        </w:rPr>
      </w:pPr>
      <w:r>
        <w:rPr>
          <w:szCs w:val="21"/>
          <w:highlight w:val="none"/>
        </w:rPr>
        <w:t>23.8.4投标人资质证书或安全生产许可证被暂扣或吊销，但仍参与投标的。</w:t>
      </w:r>
    </w:p>
    <w:p>
      <w:pPr>
        <w:numPr>
          <w:ilvl w:val="1"/>
          <w:numId w:val="7"/>
        </w:numPr>
        <w:tabs>
          <w:tab w:val="left" w:pos="760"/>
        </w:tabs>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投标文件的提交</w:t>
      </w:r>
    </w:p>
    <w:p>
      <w:pPr>
        <w:adjustRightInd w:val="0"/>
        <w:snapToGrid w:val="0"/>
        <w:spacing w:line="360" w:lineRule="auto"/>
        <w:ind w:firstLine="420" w:firstLineChars="200"/>
        <w:rPr>
          <w:szCs w:val="21"/>
          <w:highlight w:val="none"/>
        </w:rPr>
      </w:pPr>
      <w:r>
        <w:rPr>
          <w:rFonts w:hint="eastAsia"/>
          <w:szCs w:val="21"/>
          <w:highlight w:val="none"/>
          <w:lang w:val="en-US" w:eastAsia="zh-CN"/>
        </w:rPr>
        <w:t>2.7</w:t>
      </w:r>
      <w:r>
        <w:rPr>
          <w:szCs w:val="21"/>
          <w:highlight w:val="none"/>
        </w:rPr>
        <w:t>.1联合体投标的工程，联合体代表应在投标时录入已进行企业信息登记的联合体其他成员单位。</w:t>
      </w:r>
    </w:p>
    <w:p>
      <w:pPr>
        <w:adjustRightInd w:val="0"/>
        <w:snapToGrid w:val="0"/>
        <w:spacing w:line="360" w:lineRule="auto"/>
        <w:ind w:firstLine="420" w:firstLineChars="200"/>
        <w:rPr>
          <w:szCs w:val="21"/>
          <w:highlight w:val="none"/>
        </w:rPr>
      </w:pPr>
      <w:r>
        <w:rPr>
          <w:rFonts w:hint="eastAsia"/>
          <w:szCs w:val="21"/>
          <w:highlight w:val="none"/>
          <w:lang w:val="en-US" w:eastAsia="zh-CN"/>
        </w:rPr>
        <w:t>2.7</w:t>
      </w:r>
      <w:r>
        <w:rPr>
          <w:szCs w:val="21"/>
          <w:highlight w:val="none"/>
        </w:rPr>
        <w:t>.2投标人应根据投标文件递交的规定，在投标截止时间前将投标文件上传到交易网。</w:t>
      </w:r>
    </w:p>
    <w:p>
      <w:pPr>
        <w:adjustRightInd w:val="0"/>
        <w:snapToGrid w:val="0"/>
        <w:spacing w:line="360" w:lineRule="auto"/>
        <w:ind w:firstLine="420" w:firstLineChars="200"/>
        <w:rPr>
          <w:szCs w:val="21"/>
          <w:highlight w:val="none"/>
        </w:rPr>
      </w:pPr>
      <w:r>
        <w:rPr>
          <w:rFonts w:hint="eastAsia"/>
          <w:szCs w:val="21"/>
          <w:highlight w:val="none"/>
          <w:lang w:val="en-US" w:eastAsia="zh-CN"/>
        </w:rPr>
        <w:t>2.7</w:t>
      </w:r>
      <w:r>
        <w:rPr>
          <w:szCs w:val="21"/>
          <w:highlight w:val="none"/>
        </w:rPr>
        <w:t>.3投标人在递交投标文件以后，在规定的投标截止时间之前，可以重新提交经修改补充的投标文件，并电子签名确认，原已提交的投标文件会被新的投标文件覆盖。</w:t>
      </w:r>
    </w:p>
    <w:p>
      <w:pPr>
        <w:adjustRightInd w:val="0"/>
        <w:snapToGrid w:val="0"/>
        <w:spacing w:line="360" w:lineRule="auto"/>
        <w:ind w:firstLine="420" w:firstLineChars="200"/>
        <w:rPr>
          <w:szCs w:val="21"/>
          <w:highlight w:val="none"/>
        </w:rPr>
      </w:pPr>
      <w:r>
        <w:rPr>
          <w:rFonts w:hint="eastAsia"/>
          <w:szCs w:val="21"/>
          <w:highlight w:val="none"/>
          <w:lang w:val="en-US" w:eastAsia="zh-CN"/>
        </w:rPr>
        <w:t>2.7</w:t>
      </w:r>
      <w:r>
        <w:rPr>
          <w:szCs w:val="21"/>
          <w:highlight w:val="none"/>
        </w:rPr>
        <w:t>.4在投标截止时间以后，不得补充、修改投标文件。</w:t>
      </w:r>
    </w:p>
    <w:p>
      <w:pPr>
        <w:adjustRightInd w:val="0"/>
        <w:snapToGrid w:val="0"/>
        <w:spacing w:line="360" w:lineRule="auto"/>
        <w:ind w:firstLine="420" w:firstLineChars="200"/>
        <w:rPr>
          <w:szCs w:val="21"/>
          <w:highlight w:val="none"/>
        </w:rPr>
      </w:pPr>
      <w:r>
        <w:rPr>
          <w:rFonts w:hint="eastAsia"/>
          <w:szCs w:val="21"/>
          <w:highlight w:val="none"/>
          <w:lang w:val="en-US" w:eastAsia="zh-CN"/>
        </w:rPr>
        <w:t>2.7</w:t>
      </w:r>
      <w:r>
        <w:rPr>
          <w:szCs w:val="21"/>
          <w:highlight w:val="none"/>
        </w:rPr>
        <w:t>.5截标时递交标书的投标人数量不足3名的，招标人将按法律法规的规定暂停开标和评标程序。如导致招标失败，招标人将不负担因此给投标人造成的损失。</w:t>
      </w:r>
    </w:p>
    <w:p>
      <w:pPr>
        <w:adjustRightInd w:val="0"/>
        <w:snapToGrid w:val="0"/>
        <w:spacing w:line="360" w:lineRule="auto"/>
        <w:ind w:firstLine="420" w:firstLineChars="200"/>
        <w:jc w:val="left"/>
        <w:rPr>
          <w:rFonts w:ascii="宋体" w:hAnsi="宋体"/>
          <w:kern w:val="0"/>
          <w:szCs w:val="21"/>
          <w:highlight w:val="none"/>
        </w:rPr>
      </w:pPr>
    </w:p>
    <w:p>
      <w:pPr>
        <w:rPr>
          <w:rFonts w:hint="eastAsia" w:ascii="宋体" w:hAnsi="宋体"/>
          <w:b/>
          <w:kern w:val="0"/>
          <w:sz w:val="30"/>
          <w:highlight w:val="none"/>
        </w:rPr>
      </w:pPr>
      <w:bookmarkStart w:id="17" w:name="_Toc1632"/>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（三）资格后审</w:t>
      </w:r>
      <w:bookmarkEnd w:id="17"/>
    </w:p>
    <w:p>
      <w:pPr>
        <w:numPr>
          <w:ilvl w:val="1"/>
          <w:numId w:val="8"/>
        </w:numPr>
        <w:adjustRightInd w:val="0"/>
        <w:snapToGrid w:val="0"/>
        <w:spacing w:line="360" w:lineRule="auto"/>
        <w:ind w:left="7" w:leftChars="0" w:firstLine="373" w:firstLineChars="0"/>
        <w:rPr>
          <w:szCs w:val="21"/>
          <w:highlight w:val="none"/>
        </w:rPr>
      </w:pPr>
      <w:r>
        <w:rPr>
          <w:szCs w:val="21"/>
          <w:highlight w:val="none"/>
        </w:rPr>
        <w:t>资格审查由招标人</w:t>
      </w:r>
      <w:r>
        <w:rPr>
          <w:rFonts w:hint="eastAsia"/>
          <w:szCs w:val="21"/>
          <w:highlight w:val="none"/>
          <w:lang w:eastAsia="zh-CN"/>
        </w:rPr>
        <w:t>组建</w:t>
      </w:r>
      <w:r>
        <w:rPr>
          <w:szCs w:val="21"/>
          <w:highlight w:val="none"/>
        </w:rPr>
        <w:t>的资格</w:t>
      </w:r>
      <w:r>
        <w:rPr>
          <w:rFonts w:hint="eastAsia"/>
          <w:szCs w:val="21"/>
          <w:highlight w:val="none"/>
          <w:lang w:eastAsia="zh-CN"/>
        </w:rPr>
        <w:t>审查</w:t>
      </w:r>
      <w:r>
        <w:rPr>
          <w:szCs w:val="21"/>
          <w:highlight w:val="none"/>
        </w:rPr>
        <w:t>委员会负责，在截标后招标人</w:t>
      </w:r>
      <w:r>
        <w:rPr>
          <w:rFonts w:hint="eastAsia"/>
          <w:szCs w:val="21"/>
          <w:highlight w:val="none"/>
          <w:lang w:eastAsia="zh-CN"/>
        </w:rPr>
        <w:t>开启资格审查标</w:t>
      </w:r>
      <w:r>
        <w:rPr>
          <w:szCs w:val="21"/>
          <w:highlight w:val="none"/>
        </w:rPr>
        <w:t>对各投标人资格进行审查。</w:t>
      </w:r>
    </w:p>
    <w:p>
      <w:pPr>
        <w:numPr>
          <w:ilvl w:val="1"/>
          <w:numId w:val="8"/>
        </w:numPr>
        <w:adjustRightInd w:val="0"/>
        <w:snapToGrid w:val="0"/>
        <w:spacing w:line="360" w:lineRule="auto"/>
        <w:ind w:left="7" w:leftChars="0" w:firstLine="373" w:firstLineChars="0"/>
        <w:rPr>
          <w:szCs w:val="21"/>
          <w:highlight w:val="none"/>
        </w:rPr>
      </w:pPr>
      <w:r>
        <w:rPr>
          <w:szCs w:val="21"/>
          <w:highlight w:val="none"/>
        </w:rPr>
        <w:t>资格</w:t>
      </w:r>
      <w:r>
        <w:rPr>
          <w:rFonts w:hint="eastAsia"/>
          <w:szCs w:val="21"/>
          <w:highlight w:val="none"/>
          <w:lang w:eastAsia="zh-CN"/>
        </w:rPr>
        <w:t>审查</w:t>
      </w:r>
      <w:r>
        <w:rPr>
          <w:szCs w:val="21"/>
          <w:highlight w:val="none"/>
        </w:rPr>
        <w:t>委员会由</w:t>
      </w:r>
      <w:r>
        <w:rPr>
          <w:rFonts w:hint="eastAsia"/>
          <w:szCs w:val="21"/>
          <w:highlight w:val="none"/>
          <w:lang w:val="en-US" w:eastAsia="zh-CN"/>
        </w:rPr>
        <w:t>5</w:t>
      </w:r>
      <w:r>
        <w:rPr>
          <w:szCs w:val="21"/>
          <w:highlight w:val="none"/>
        </w:rPr>
        <w:t>名以上单数的招标人代表组成，招标代理人员参与资格审查的，其人员不得超过总人数的1/3。</w:t>
      </w:r>
    </w:p>
    <w:p>
      <w:pPr>
        <w:numPr>
          <w:ilvl w:val="1"/>
          <w:numId w:val="8"/>
        </w:numPr>
        <w:adjustRightInd w:val="0"/>
        <w:snapToGrid w:val="0"/>
        <w:spacing w:line="360" w:lineRule="auto"/>
        <w:ind w:left="7" w:leftChars="0" w:firstLine="373" w:firstLineChars="0"/>
        <w:rPr>
          <w:szCs w:val="21"/>
          <w:highlight w:val="none"/>
        </w:rPr>
      </w:pPr>
      <w:r>
        <w:rPr>
          <w:szCs w:val="21"/>
          <w:highlight w:val="none"/>
        </w:rPr>
        <w:t>资格</w:t>
      </w:r>
      <w:r>
        <w:rPr>
          <w:rFonts w:hint="eastAsia"/>
          <w:szCs w:val="21"/>
          <w:highlight w:val="none"/>
          <w:lang w:eastAsia="zh-CN"/>
        </w:rPr>
        <w:t>审查</w:t>
      </w:r>
      <w:r>
        <w:rPr>
          <w:szCs w:val="21"/>
          <w:highlight w:val="none"/>
        </w:rPr>
        <w:t>委员严格对照招标公告中要求的投标人资格条件，逐个审查投标人递交的资格审查文件，审核判断投标人是否满足该资格条件。</w:t>
      </w:r>
    </w:p>
    <w:p>
      <w:pPr>
        <w:numPr>
          <w:ilvl w:val="1"/>
          <w:numId w:val="8"/>
        </w:numPr>
        <w:adjustRightInd w:val="0"/>
        <w:snapToGrid w:val="0"/>
        <w:spacing w:line="360" w:lineRule="auto"/>
        <w:ind w:left="7" w:leftChars="0" w:firstLine="373" w:firstLineChars="0"/>
        <w:rPr>
          <w:szCs w:val="21"/>
          <w:highlight w:val="none"/>
        </w:rPr>
      </w:pPr>
      <w:r>
        <w:rPr>
          <w:szCs w:val="21"/>
          <w:highlight w:val="none"/>
        </w:rPr>
        <w:t>审查过程中如出现疑问，资格</w:t>
      </w:r>
      <w:r>
        <w:rPr>
          <w:rFonts w:hint="eastAsia"/>
          <w:szCs w:val="21"/>
          <w:highlight w:val="none"/>
          <w:lang w:eastAsia="zh-CN"/>
        </w:rPr>
        <w:t>审查</w:t>
      </w:r>
      <w:r>
        <w:rPr>
          <w:szCs w:val="21"/>
          <w:highlight w:val="none"/>
        </w:rPr>
        <w:t>委员可要求投标人进行澄清说明，并根据招标公告设置的条件要求进行判断；如出现投标人资格不符合招标公告设置条件的，应当向投标人说明情况，并允许投标人答辩，记录有关情况。</w:t>
      </w:r>
    </w:p>
    <w:p>
      <w:pPr>
        <w:numPr>
          <w:ilvl w:val="1"/>
          <w:numId w:val="8"/>
        </w:numPr>
        <w:adjustRightInd w:val="0"/>
        <w:snapToGrid w:val="0"/>
        <w:spacing w:line="360" w:lineRule="auto"/>
        <w:ind w:left="7" w:leftChars="0" w:firstLine="373" w:firstLineChars="0"/>
        <w:rPr>
          <w:szCs w:val="21"/>
          <w:highlight w:val="none"/>
        </w:rPr>
      </w:pPr>
      <w:r>
        <w:rPr>
          <w:szCs w:val="21"/>
          <w:highlight w:val="none"/>
        </w:rPr>
        <w:t>拟进行资格</w:t>
      </w:r>
      <w:r>
        <w:rPr>
          <w:rFonts w:hint="eastAsia"/>
          <w:szCs w:val="21"/>
          <w:highlight w:val="none"/>
          <w:lang w:eastAsia="zh-CN"/>
        </w:rPr>
        <w:t>审查</w:t>
      </w:r>
      <w:r>
        <w:rPr>
          <w:szCs w:val="21"/>
          <w:highlight w:val="none"/>
        </w:rPr>
        <w:t>澄清、答辩的代表由招标人核对身份。</w:t>
      </w:r>
    </w:p>
    <w:p>
      <w:pPr>
        <w:numPr>
          <w:ilvl w:val="1"/>
          <w:numId w:val="8"/>
        </w:numPr>
        <w:adjustRightInd w:val="0"/>
        <w:snapToGrid w:val="0"/>
        <w:spacing w:line="360" w:lineRule="auto"/>
        <w:ind w:left="7" w:leftChars="0" w:firstLine="373" w:firstLineChars="0"/>
        <w:rPr>
          <w:szCs w:val="21"/>
          <w:highlight w:val="none"/>
        </w:rPr>
      </w:pPr>
      <w:r>
        <w:rPr>
          <w:szCs w:val="21"/>
          <w:highlight w:val="none"/>
        </w:rPr>
        <w:t>资格</w:t>
      </w:r>
      <w:r>
        <w:rPr>
          <w:rFonts w:hint="eastAsia"/>
          <w:szCs w:val="21"/>
          <w:highlight w:val="none"/>
          <w:lang w:eastAsia="zh-CN"/>
        </w:rPr>
        <w:t>审查</w:t>
      </w:r>
      <w:r>
        <w:rPr>
          <w:szCs w:val="21"/>
          <w:highlight w:val="none"/>
        </w:rPr>
        <w:t>委员会要求投标人进行澄清、答辩，但投标人在招标人规定时间内未派出人员及时作出澄清、答辩的，</w:t>
      </w:r>
      <w:r>
        <w:rPr>
          <w:rFonts w:hint="eastAsia"/>
          <w:szCs w:val="21"/>
          <w:highlight w:val="none"/>
          <w:lang w:eastAsia="zh-CN"/>
        </w:rPr>
        <w:t>资格审查委员</w:t>
      </w:r>
      <w:r>
        <w:rPr>
          <w:szCs w:val="21"/>
          <w:highlight w:val="none"/>
        </w:rPr>
        <w:t>会将可能作出不利于投标人的判定。</w:t>
      </w:r>
    </w:p>
    <w:p>
      <w:pPr>
        <w:numPr>
          <w:ilvl w:val="1"/>
          <w:numId w:val="8"/>
        </w:numPr>
        <w:adjustRightInd w:val="0"/>
        <w:snapToGrid w:val="0"/>
        <w:spacing w:line="360" w:lineRule="auto"/>
        <w:ind w:left="7" w:leftChars="0" w:firstLine="373" w:firstLineChars="0"/>
        <w:rPr>
          <w:szCs w:val="21"/>
          <w:highlight w:val="none"/>
        </w:rPr>
      </w:pPr>
      <w:r>
        <w:rPr>
          <w:szCs w:val="21"/>
          <w:highlight w:val="none"/>
        </w:rPr>
        <w:t>全部投标人的资格审查材料审查完毕后，资格</w:t>
      </w:r>
      <w:r>
        <w:rPr>
          <w:rFonts w:hint="eastAsia"/>
          <w:szCs w:val="21"/>
          <w:highlight w:val="none"/>
          <w:lang w:eastAsia="zh-CN"/>
        </w:rPr>
        <w:t>审查</w:t>
      </w:r>
      <w:r>
        <w:rPr>
          <w:szCs w:val="21"/>
          <w:highlight w:val="none"/>
        </w:rPr>
        <w:t>委员会出具资格审查报告，并按规定将审查结果进行公示，同时将所有投标人的资信标内容公示。资格审查合格投标人少于3家的，不再进行后续招标投标程序。资格审查结果应当在交易网公示不少于3个工作日。</w:t>
      </w:r>
    </w:p>
    <w:p>
      <w:pPr>
        <w:rPr>
          <w:rFonts w:hint="eastAsia" w:ascii="宋体" w:hAnsi="宋体"/>
          <w:b/>
          <w:kern w:val="0"/>
          <w:sz w:val="30"/>
          <w:highlight w:val="none"/>
        </w:rPr>
      </w:pPr>
      <w:bookmarkStart w:id="18" w:name="_Toc10182"/>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（四）开标</w:t>
      </w:r>
      <w:bookmarkEnd w:id="18"/>
    </w:p>
    <w:p>
      <w:pPr>
        <w:numPr>
          <w:ilvl w:val="1"/>
          <w:numId w:val="9"/>
        </w:numPr>
        <w:adjustRightInd w:val="0"/>
        <w:snapToGrid w:val="0"/>
        <w:spacing w:line="360" w:lineRule="auto"/>
        <w:ind w:left="7" w:leftChars="0" w:firstLine="373" w:firstLineChars="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开标会议由招标人在交易网进行，投标人现场参加开标会的必须是法定代表人或</w:t>
      </w:r>
      <w:r>
        <w:rPr>
          <w:rFonts w:hint="eastAsia" w:ascii="宋体" w:hAnsi="宋体"/>
          <w:color w:val="000000" w:themeColor="text1"/>
          <w:kern w:val="0"/>
          <w:szCs w:val="21"/>
          <w:highlight w:val="none"/>
          <w:lang w:eastAsia="zh-CN"/>
          <w14:textFill>
            <w14:solidFill>
              <w14:schemeClr w14:val="tx1"/>
            </w14:solidFill>
          </w14:textFill>
        </w:rPr>
        <w:t>投标人授权委托人</w:t>
      </w:r>
      <w:r>
        <w:rPr>
          <w:rFonts w:hint="eastAsia" w:ascii="宋体" w:hAnsi="宋体"/>
          <w:color w:val="000000" w:themeColor="text1"/>
          <w:kern w:val="0"/>
          <w:szCs w:val="21"/>
          <w:highlight w:val="none"/>
          <w14:textFill>
            <w14:solidFill>
              <w14:schemeClr w14:val="tx1"/>
            </w14:solidFill>
          </w14:textFill>
        </w:rPr>
        <w:t>，并必须遵守办理程序及人员身份的相关规定。</w:t>
      </w:r>
    </w:p>
    <w:p>
      <w:pPr>
        <w:numPr>
          <w:ilvl w:val="1"/>
          <w:numId w:val="9"/>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lang w:val="en-US" w:eastAsia="zh-CN"/>
          <w14:textFill>
            <w14:solidFill>
              <w14:schemeClr w14:val="tx1"/>
            </w14:solidFill>
          </w14:textFill>
        </w:rPr>
        <w:t>·</w:t>
      </w:r>
      <w:r>
        <w:rPr>
          <w:rFonts w:hint="eastAsia" w:hAnsi="宋体"/>
          <w:color w:val="000000" w:themeColor="text1"/>
          <w:kern w:val="0"/>
          <w:szCs w:val="21"/>
          <w:highlight w:val="none"/>
          <w14:textFill>
            <w14:solidFill>
              <w14:schemeClr w14:val="tx1"/>
            </w14:solidFill>
          </w14:textFill>
        </w:rPr>
        <w:t>资格后审不合格的投标人不进入开标程序。</w:t>
      </w:r>
    </w:p>
    <w:p>
      <w:pPr>
        <w:numPr>
          <w:ilvl w:val="1"/>
          <w:numId w:val="9"/>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开标时，需按开标程序分步对电子投标文件各部分进行导入；如电子投标文件已加密的，也必须按开标程序分步对电子投标文件各部分进行解密。</w:t>
      </w:r>
    </w:p>
    <w:p>
      <w:pPr>
        <w:numPr>
          <w:ilvl w:val="1"/>
          <w:numId w:val="9"/>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按“投标文件否决性条款”规定宣布为不予受理情形的投标文件，不予送交评标委员会评审。</w:t>
      </w:r>
    </w:p>
    <w:p>
      <w:pPr>
        <w:numPr>
          <w:ilvl w:val="1"/>
          <w:numId w:val="9"/>
        </w:numPr>
        <w:adjustRightInd w:val="0"/>
        <w:snapToGrid w:val="0"/>
        <w:spacing w:line="360" w:lineRule="auto"/>
        <w:ind w:left="7" w:leftChars="0" w:firstLine="373" w:firstLineChars="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开标后，当资格审查合格的投标人数量超过20名时，招标人可以按规定将进入评标环节的投标人数量淘汰至15至20名。</w:t>
      </w:r>
    </w:p>
    <w:p>
      <w:pPr>
        <w:numPr>
          <w:ilvl w:val="1"/>
          <w:numId w:val="9"/>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lang w:val="en-US" w:eastAsia="zh-CN"/>
          <w14:textFill>
            <w14:solidFill>
              <w14:schemeClr w14:val="tx1"/>
            </w14:solidFill>
          </w14:textFill>
        </w:rPr>
        <w:t>招标</w:t>
      </w:r>
      <w:r>
        <w:rPr>
          <w:rFonts w:hint="eastAsia" w:ascii="宋体" w:hAnsi="宋体"/>
          <w:color w:val="000000" w:themeColor="text1"/>
          <w:kern w:val="0"/>
          <w:szCs w:val="21"/>
          <w:highlight w:val="none"/>
          <w14:textFill>
            <w14:solidFill>
              <w14:schemeClr w14:val="tx1"/>
            </w14:solidFill>
          </w14:textFill>
        </w:rPr>
        <w:t>人在过多投标人淘汰环节应当采用票决法进行择优。择优因素主要考虑企业资质、企业规模、财务状况、企业及其人员的廉政记录、信用等。招标人可以根据项目实际情况增加择优因素，也可以综合考虑择优因素或按择优因素的重要性，对投标人进行逐级淘汰。</w:t>
      </w:r>
      <w:r>
        <w:rPr>
          <w:rFonts w:hint="eastAsia" w:ascii="宋体" w:hAnsi="宋体"/>
          <w:color w:val="000000" w:themeColor="text1"/>
          <w:kern w:val="0"/>
          <w:szCs w:val="21"/>
          <w:highlight w:val="none"/>
          <w:lang w:eastAsia="zh-CN"/>
          <w14:textFill>
            <w14:solidFill>
              <w14:schemeClr w14:val="tx1"/>
            </w14:solidFill>
          </w14:textFill>
        </w:rPr>
        <w:t>具体淘汰办法由招标人自行在招标文件第三章规定。</w:t>
      </w:r>
    </w:p>
    <w:p>
      <w:pPr>
        <w:numPr>
          <w:ilvl w:val="1"/>
          <w:numId w:val="9"/>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招标人应对开标过程进行记录，以存档备查。</w:t>
      </w:r>
    </w:p>
    <w:p>
      <w:pPr>
        <w:rPr>
          <w:rFonts w:hint="eastAsia" w:ascii="宋体" w:hAnsi="宋体"/>
          <w:b/>
          <w:kern w:val="0"/>
          <w:sz w:val="30"/>
          <w:highlight w:val="none"/>
        </w:rPr>
      </w:pPr>
      <w:bookmarkStart w:id="19" w:name="_Toc2418"/>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（五）评标</w:t>
      </w:r>
      <w:bookmarkEnd w:id="19"/>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评标委员会应当根据“投标须知前附表”规定的评标方法，对投标文件进行评审和比较，招标文件中没有规定的标准和方法不得作为评标的依据。</w:t>
      </w:r>
    </w:p>
    <w:p>
      <w:pPr>
        <w:numPr>
          <w:ilvl w:val="1"/>
          <w:numId w:val="9"/>
        </w:numPr>
        <w:adjustRightInd w:val="0"/>
        <w:snapToGrid w:val="0"/>
        <w:spacing w:line="360" w:lineRule="auto"/>
        <w:ind w:left="7" w:leftChars="0" w:firstLine="373" w:firstLineChars="0"/>
        <w:rPr>
          <w:rFonts w:ascii="宋体" w:hAnsi="宋体" w:cs="宋体"/>
          <w:b/>
          <w:bCs/>
          <w:color w:val="000000" w:themeColor="text1"/>
          <w:kern w:val="0"/>
          <w:szCs w:val="21"/>
          <w:highlight w:val="none"/>
          <w14:textFill>
            <w14:solidFill>
              <w14:schemeClr w14:val="tx1"/>
            </w14:solidFill>
          </w14:textFill>
        </w:rPr>
      </w:pPr>
      <w:r>
        <w:rPr>
          <w:rFonts w:hint="eastAsia" w:ascii="宋体" w:hAnsi="宋体"/>
          <w:b/>
          <w:kern w:val="0"/>
          <w:highlight w:val="none"/>
        </w:rPr>
        <w:t>评标委员会组建及职责</w:t>
      </w:r>
      <w:r>
        <w:rPr>
          <w:rFonts w:hint="eastAsia" w:ascii="宋体" w:hAnsi="宋体" w:cs="宋体"/>
          <w:b/>
          <w:bCs/>
          <w:color w:val="000000" w:themeColor="text1"/>
          <w:kern w:val="0"/>
          <w:szCs w:val="21"/>
          <w:highlight w:val="none"/>
          <w14:textFill>
            <w14:solidFill>
              <w14:schemeClr w14:val="tx1"/>
            </w14:solidFill>
          </w14:textFill>
        </w:rPr>
        <w:t xml:space="preserve"> </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.1评标委员会组建方式：由招标人依法组建，负责评标活动。</w:t>
      </w:r>
      <w:r>
        <w:rPr>
          <w:rFonts w:hint="eastAsia" w:ascii="宋体" w:hAnsi="宋体"/>
          <w:color w:val="000000" w:themeColor="text1"/>
          <w:kern w:val="0"/>
          <w:szCs w:val="21"/>
          <w:highlight w:val="none"/>
          <w14:textFill>
            <w14:solidFill>
              <w14:schemeClr w14:val="tx1"/>
            </w14:solidFill>
          </w14:textFill>
        </w:rPr>
        <w:t>评标委员会的专家成员由招标人从评标专家库内按照专业随机抽取，评标委员会成员数量为5人以上单数，招标人可以委派一名代表。</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.2评标委员会职责：评标委员会应根据招标文件规定的评标方法和标准，遵循公开、公正、公平、科学、择优的原则，对投标文件进行评审。评标委员会根据招标文件规定向招标人推荐合格投标人或中标候选人。</w:t>
      </w:r>
    </w:p>
    <w:p>
      <w:pPr>
        <w:numPr>
          <w:ilvl w:val="1"/>
          <w:numId w:val="9"/>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投标文件的评审</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评标委员会根据招标文件规定的评标方法和标准，对各投标人的投标文件分别进行评审。</w:t>
      </w:r>
    </w:p>
    <w:p>
      <w:pPr>
        <w:numPr>
          <w:ilvl w:val="1"/>
          <w:numId w:val="9"/>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投标文件的重大偏差</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投标文件存在的重大偏差情形的</w:t>
      </w:r>
      <w:r>
        <w:rPr>
          <w:rFonts w:hint="eastAsia" w:ascii="宋体" w:hAnsi="宋体" w:cs="宋体"/>
          <w:color w:val="000000" w:themeColor="text1"/>
          <w:kern w:val="0"/>
          <w:szCs w:val="21"/>
          <w:highlight w:val="none"/>
          <w14:textFill>
            <w14:solidFill>
              <w14:schemeClr w14:val="tx1"/>
            </w14:solidFill>
          </w14:textFill>
        </w:rPr>
        <w:t>，评标委员会应根据相应的投标文件否决性条款作废标处理。</w:t>
      </w:r>
    </w:p>
    <w:p>
      <w:pPr>
        <w:numPr>
          <w:ilvl w:val="1"/>
          <w:numId w:val="9"/>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投标文件的细微偏差</w:t>
      </w:r>
    </w:p>
    <w:p>
      <w:pPr>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微偏差是指投标文件在实质上响应招标文件要求，提供了不完整的技术信息和数据等情况，细微偏差不影响投标文件的有效性。在评审过程中，评标委员会可以要求投标人就投标文件中含义不明确的内容进行说明并提供相关材料，投标人拒不补正的，在详细评审时可以对细微偏离按照不利于该投标人的原则进行调整，且投标人不得因此提出任何异议。</w:t>
      </w:r>
    </w:p>
    <w:p>
      <w:pPr>
        <w:numPr>
          <w:ilvl w:val="1"/>
          <w:numId w:val="9"/>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投标文件的澄清答辩</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lang w:val="en-US" w:eastAsia="zh-CN"/>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w:t>
      </w:r>
      <w:r>
        <w:rPr>
          <w:rFonts w:hint="eastAsia" w:ascii="宋体" w:hAnsi="宋体"/>
          <w:color w:val="000000" w:themeColor="text1"/>
          <w:kern w:val="0"/>
          <w:szCs w:val="21"/>
          <w:highlight w:val="none"/>
          <w:lang w:eastAsia="zh-CN"/>
          <w14:textFill>
            <w14:solidFill>
              <w14:schemeClr w14:val="tx1"/>
            </w14:solidFill>
          </w14:textFill>
        </w:rPr>
        <w:t>网上开标大厅</w:t>
      </w:r>
      <w:r>
        <w:rPr>
          <w:rFonts w:hint="eastAsia" w:ascii="宋体" w:hAnsi="宋体"/>
          <w:color w:val="000000" w:themeColor="text1"/>
          <w:kern w:val="0"/>
          <w:szCs w:val="21"/>
          <w:highlight w:val="none"/>
          <w14:textFill>
            <w14:solidFill>
              <w14:schemeClr w14:val="tx1"/>
            </w14:solidFill>
          </w14:textFill>
        </w:rPr>
        <w:t>或现场两种方式进行。</w:t>
      </w:r>
    </w:p>
    <w:p>
      <w:pPr>
        <w:adjustRightInd w:val="0"/>
        <w:snapToGrid w:val="0"/>
        <w:spacing w:line="360" w:lineRule="auto"/>
        <w:ind w:firstLine="420" w:firstLineChars="200"/>
        <w:rPr>
          <w:szCs w:val="21"/>
          <w:highlight w:val="none"/>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lang w:val="en-US" w:eastAsia="zh-CN"/>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.2</w:t>
      </w:r>
      <w:r>
        <w:rPr>
          <w:szCs w:val="21"/>
          <w:highlight w:val="none"/>
        </w:rPr>
        <w:t>采用</w:t>
      </w:r>
      <w:r>
        <w:rPr>
          <w:rFonts w:hint="eastAsia"/>
          <w:szCs w:val="21"/>
          <w:highlight w:val="none"/>
          <w:lang w:eastAsia="zh-CN"/>
        </w:rPr>
        <w:t>网上开标大厅</w:t>
      </w:r>
      <w:r>
        <w:rPr>
          <w:szCs w:val="21"/>
          <w:highlight w:val="none"/>
        </w:rPr>
        <w:t>方式澄清答辩的</w:t>
      </w:r>
      <w:r>
        <w:rPr>
          <w:rFonts w:hint="eastAsia"/>
          <w:szCs w:val="21"/>
          <w:highlight w:val="none"/>
          <w:lang w:eastAsia="zh-CN"/>
        </w:rPr>
        <w:t>，由投标人在网上开标大厅答复</w:t>
      </w:r>
      <w:r>
        <w:rPr>
          <w:szCs w:val="21"/>
          <w:highlight w:val="none"/>
        </w:rPr>
        <w:t>。采用现场方式澄清答辩的答辩人应为该单位的授权委托人，授权委托人须本人携带有效的身份证明文件（包含身份证原件、法定代表人证明书、法人授权委托书等）。澄清答辩人员的身份由</w:t>
      </w:r>
      <w:r>
        <w:rPr>
          <w:rFonts w:hint="eastAsia"/>
          <w:szCs w:val="21"/>
          <w:highlight w:val="none"/>
          <w:lang w:eastAsia="zh-CN"/>
        </w:rPr>
        <w:t>招标人</w:t>
      </w:r>
      <w:r>
        <w:rPr>
          <w:szCs w:val="21"/>
          <w:highlight w:val="none"/>
        </w:rPr>
        <w:t>核验。</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lang w:val="en-US" w:eastAsia="zh-CN"/>
          <w14:textFill>
            <w14:solidFill>
              <w14:schemeClr w14:val="tx1"/>
            </w14:solidFill>
          </w14:textFill>
        </w:rPr>
        <w:t>12</w:t>
      </w:r>
      <w:r>
        <w:rPr>
          <w:rFonts w:hint="eastAsia" w:ascii="宋体" w:hAnsi="宋体"/>
          <w:color w:val="000000" w:themeColor="text1"/>
          <w:kern w:val="0"/>
          <w:szCs w:val="21"/>
          <w:highlight w:val="none"/>
          <w14:textFill>
            <w14:solidFill>
              <w14:schemeClr w14:val="tx1"/>
            </w14:solidFill>
          </w14:textFill>
        </w:rPr>
        <w:t>.3</w:t>
      </w:r>
      <w:r>
        <w:rPr>
          <w:szCs w:val="21"/>
          <w:highlight w:val="none"/>
        </w:rPr>
        <w:t>评标委员会要求投标人答辩，但投标人在评标委员会规定的时间内（不少于30分钟）内</w:t>
      </w:r>
      <w:r>
        <w:rPr>
          <w:rFonts w:hint="eastAsia"/>
          <w:szCs w:val="21"/>
          <w:highlight w:val="none"/>
          <w:lang w:eastAsia="zh-CN"/>
        </w:rPr>
        <w:t>未在网上开标大厅或</w:t>
      </w:r>
      <w:r>
        <w:rPr>
          <w:szCs w:val="21"/>
          <w:highlight w:val="none"/>
        </w:rPr>
        <w:t>派出代表及时作出答辩，评标委员会将根据招标文件规定作出不利于投标人的判定，投标人不得因此提出任何异议</w:t>
      </w:r>
      <w:r>
        <w:rPr>
          <w:rFonts w:hint="eastAsia" w:ascii="宋体" w:hAnsi="宋体"/>
          <w:color w:val="000000" w:themeColor="text1"/>
          <w:kern w:val="0"/>
          <w:szCs w:val="21"/>
          <w:highlight w:val="none"/>
          <w14:textFill>
            <w14:solidFill>
              <w14:schemeClr w14:val="tx1"/>
            </w14:solidFill>
          </w14:textFill>
        </w:rPr>
        <w:t>。</w:t>
      </w:r>
    </w:p>
    <w:p>
      <w:pPr>
        <w:numPr>
          <w:ilvl w:val="1"/>
          <w:numId w:val="9"/>
        </w:numPr>
        <w:adjustRightInd w:val="0"/>
        <w:snapToGrid w:val="0"/>
        <w:spacing w:line="360" w:lineRule="auto"/>
        <w:ind w:left="7" w:leftChars="0" w:firstLine="373" w:firstLineChars="0"/>
        <w:rPr>
          <w:b/>
          <w:bCs/>
          <w:szCs w:val="21"/>
          <w:highlight w:val="none"/>
        </w:rPr>
      </w:pPr>
      <w:r>
        <w:rPr>
          <w:b/>
          <w:bCs/>
          <w:szCs w:val="21"/>
          <w:highlight w:val="none"/>
        </w:rPr>
        <w:t>无效标和废标的处理</w:t>
      </w:r>
    </w:p>
    <w:p>
      <w:pPr>
        <w:adjustRightInd w:val="0"/>
        <w:snapToGrid w:val="0"/>
        <w:spacing w:line="360" w:lineRule="auto"/>
        <w:ind w:firstLine="420" w:firstLineChars="200"/>
        <w:rPr>
          <w:szCs w:val="21"/>
          <w:highlight w:val="none"/>
        </w:rPr>
      </w:pPr>
      <w:r>
        <w:rPr>
          <w:rFonts w:hint="eastAsia"/>
          <w:szCs w:val="21"/>
          <w:highlight w:val="none"/>
          <w:lang w:val="en-US" w:eastAsia="zh-CN"/>
        </w:rPr>
        <w:t>5.13</w:t>
      </w:r>
      <w:r>
        <w:rPr>
          <w:szCs w:val="21"/>
          <w:highlight w:val="none"/>
        </w:rPr>
        <w:t>.1除法律、法规、规章、规范性文件规定以及本招标文件否决性条款单列的无效标或者废标情形外，评标委员会不得对投标文件作无效标或者废标处理。评标委员会对投标文件应坚持谨慎确定无效标和废标的原则。</w:t>
      </w:r>
    </w:p>
    <w:p>
      <w:pPr>
        <w:adjustRightInd w:val="0"/>
        <w:snapToGrid w:val="0"/>
        <w:spacing w:line="360" w:lineRule="auto"/>
        <w:ind w:firstLine="420" w:firstLineChars="200"/>
        <w:rPr>
          <w:szCs w:val="21"/>
          <w:highlight w:val="none"/>
        </w:rPr>
      </w:pPr>
      <w:r>
        <w:rPr>
          <w:rFonts w:hint="eastAsia"/>
          <w:szCs w:val="21"/>
          <w:highlight w:val="none"/>
          <w:lang w:val="en-US" w:eastAsia="zh-CN"/>
        </w:rPr>
        <w:t>5.13</w:t>
      </w:r>
      <w:r>
        <w:rPr>
          <w:szCs w:val="21"/>
          <w:highlight w:val="none"/>
        </w:rPr>
        <w:t>.2评标委员会在作出任何一项无效标和废标决定前，都应当严格遵循以下程序：</w:t>
      </w:r>
    </w:p>
    <w:p>
      <w:pPr>
        <w:numPr>
          <w:ilvl w:val="0"/>
          <w:numId w:val="10"/>
        </w:numPr>
        <w:tabs>
          <w:tab w:val="left" w:pos="760"/>
        </w:tabs>
        <w:adjustRightInd w:val="0"/>
        <w:snapToGrid w:val="0"/>
        <w:spacing w:line="360" w:lineRule="auto"/>
        <w:ind w:left="5" w:leftChars="0" w:firstLine="375" w:firstLineChars="0"/>
        <w:rPr>
          <w:szCs w:val="21"/>
          <w:highlight w:val="none"/>
        </w:rPr>
      </w:pPr>
      <w:r>
        <w:rPr>
          <w:szCs w:val="21"/>
          <w:highlight w:val="none"/>
        </w:rPr>
        <w:t>向当事投标人作相应的澄清</w:t>
      </w:r>
      <w:r>
        <w:rPr>
          <w:rFonts w:hint="eastAsia"/>
          <w:szCs w:val="21"/>
          <w:highlight w:val="none"/>
          <w:lang w:eastAsia="zh-CN"/>
        </w:rPr>
        <w:t>。</w:t>
      </w:r>
    </w:p>
    <w:p>
      <w:pPr>
        <w:numPr>
          <w:ilvl w:val="0"/>
          <w:numId w:val="10"/>
        </w:numPr>
        <w:tabs>
          <w:tab w:val="left" w:pos="760"/>
        </w:tabs>
        <w:adjustRightInd w:val="0"/>
        <w:snapToGrid w:val="0"/>
        <w:spacing w:line="360" w:lineRule="auto"/>
        <w:ind w:left="5" w:leftChars="0" w:firstLine="375" w:firstLineChars="0"/>
        <w:rPr>
          <w:szCs w:val="21"/>
          <w:highlight w:val="none"/>
        </w:rPr>
      </w:pPr>
      <w:r>
        <w:rPr>
          <w:szCs w:val="21"/>
          <w:highlight w:val="none"/>
        </w:rPr>
        <w:t>当事投标人应当在通知规定时间内，向评标委员会作出澄清和解释。</w:t>
      </w:r>
      <w:r>
        <w:rPr>
          <w:rFonts w:hint="eastAsia"/>
          <w:szCs w:val="21"/>
          <w:highlight w:val="none"/>
          <w:lang w:eastAsia="zh-CN"/>
        </w:rPr>
        <w:t>若</w:t>
      </w:r>
      <w:r>
        <w:rPr>
          <w:szCs w:val="21"/>
          <w:highlight w:val="none"/>
        </w:rPr>
        <w:t>未按时作澄清和解释，评标委员会可对相应投标文件按最不利情形认定</w:t>
      </w:r>
      <w:r>
        <w:rPr>
          <w:rFonts w:hint="eastAsia"/>
          <w:szCs w:val="21"/>
          <w:highlight w:val="none"/>
          <w:lang w:eastAsia="zh-CN"/>
        </w:rPr>
        <w:t>。</w:t>
      </w:r>
    </w:p>
    <w:p>
      <w:pPr>
        <w:numPr>
          <w:ilvl w:val="0"/>
          <w:numId w:val="10"/>
        </w:numPr>
        <w:tabs>
          <w:tab w:val="left" w:pos="760"/>
        </w:tabs>
        <w:adjustRightInd w:val="0"/>
        <w:snapToGrid w:val="0"/>
        <w:spacing w:line="360" w:lineRule="auto"/>
        <w:ind w:left="5" w:leftChars="0" w:firstLine="375" w:firstLineChars="0"/>
        <w:rPr>
          <w:szCs w:val="21"/>
          <w:highlight w:val="none"/>
        </w:rPr>
      </w:pPr>
      <w:r>
        <w:rPr>
          <w:szCs w:val="21"/>
          <w:highlight w:val="none"/>
        </w:rPr>
        <w:t>在充分讨论的基础上集体表决</w:t>
      </w:r>
      <w:r>
        <w:rPr>
          <w:rFonts w:hint="eastAsia"/>
          <w:szCs w:val="21"/>
          <w:highlight w:val="none"/>
          <w:lang w:eastAsia="zh-CN"/>
        </w:rPr>
        <w:t>。</w:t>
      </w:r>
    </w:p>
    <w:p>
      <w:pPr>
        <w:numPr>
          <w:ilvl w:val="0"/>
          <w:numId w:val="10"/>
        </w:numPr>
        <w:tabs>
          <w:tab w:val="left" w:pos="760"/>
        </w:tabs>
        <w:adjustRightInd w:val="0"/>
        <w:snapToGrid w:val="0"/>
        <w:spacing w:line="360" w:lineRule="auto"/>
        <w:ind w:left="5" w:leftChars="0" w:firstLine="375" w:firstLineChars="0"/>
        <w:rPr>
          <w:szCs w:val="21"/>
          <w:highlight w:val="none"/>
        </w:rPr>
      </w:pPr>
      <w:r>
        <w:rPr>
          <w:szCs w:val="21"/>
          <w:highlight w:val="none"/>
        </w:rPr>
        <w:t>若表决通过无效标或废标决定，应在评标报告中详细载明无效标或废标的理由、依据、答辩的情况和集体表决的情况（同意无效标或废标和不同意无效标或废标的评标委员会成员均应当注明）</w:t>
      </w:r>
      <w:r>
        <w:rPr>
          <w:rFonts w:hint="eastAsia"/>
          <w:szCs w:val="21"/>
          <w:highlight w:val="none"/>
          <w:lang w:eastAsia="zh-CN"/>
        </w:rPr>
        <w:t>。</w:t>
      </w:r>
    </w:p>
    <w:p>
      <w:pPr>
        <w:numPr>
          <w:ilvl w:val="0"/>
          <w:numId w:val="10"/>
        </w:numPr>
        <w:tabs>
          <w:tab w:val="left" w:pos="760"/>
        </w:tabs>
        <w:adjustRightInd w:val="0"/>
        <w:snapToGrid w:val="0"/>
        <w:spacing w:line="360" w:lineRule="auto"/>
        <w:ind w:left="5" w:leftChars="0" w:firstLine="375" w:firstLineChars="0"/>
        <w:rPr>
          <w:szCs w:val="21"/>
          <w:highlight w:val="none"/>
        </w:rPr>
      </w:pPr>
      <w:r>
        <w:rPr>
          <w:szCs w:val="21"/>
          <w:highlight w:val="none"/>
        </w:rPr>
        <w:t>评标委员会在否决所有投标文件前，应当向招标人核实有关情况，听取招标人意见。</w:t>
      </w:r>
    </w:p>
    <w:p>
      <w:pPr>
        <w:numPr>
          <w:ilvl w:val="1"/>
          <w:numId w:val="9"/>
        </w:numPr>
        <w:adjustRightInd w:val="0"/>
        <w:snapToGrid w:val="0"/>
        <w:spacing w:line="360" w:lineRule="auto"/>
        <w:ind w:left="7" w:leftChars="0" w:firstLine="373" w:firstLineChars="0"/>
        <w:rPr>
          <w:b/>
          <w:bCs/>
          <w:szCs w:val="21"/>
          <w:highlight w:val="none"/>
        </w:rPr>
      </w:pPr>
      <w:r>
        <w:rPr>
          <w:b/>
          <w:bCs/>
          <w:szCs w:val="21"/>
          <w:highlight w:val="none"/>
        </w:rPr>
        <w:t>合格投标人的推荐</w:t>
      </w:r>
    </w:p>
    <w:p>
      <w:pPr>
        <w:adjustRightInd w:val="0"/>
        <w:snapToGrid w:val="0"/>
        <w:spacing w:line="360" w:lineRule="auto"/>
        <w:ind w:firstLine="420" w:firstLineChars="200"/>
        <w:rPr>
          <w:szCs w:val="21"/>
          <w:highlight w:val="none"/>
        </w:rPr>
      </w:pPr>
      <w:r>
        <w:rPr>
          <w:rFonts w:hint="eastAsia"/>
          <w:szCs w:val="21"/>
          <w:highlight w:val="none"/>
          <w:lang w:val="en-US" w:eastAsia="zh-CN"/>
        </w:rPr>
        <w:t>5.14.1</w:t>
      </w:r>
      <w:r>
        <w:rPr>
          <w:szCs w:val="21"/>
          <w:highlight w:val="none"/>
        </w:rPr>
        <w:t>评标委员会实行少数服从多数的原则，评标结果经评标委员会全体成员过半数通过有效。</w:t>
      </w:r>
    </w:p>
    <w:p>
      <w:pPr>
        <w:adjustRightInd w:val="0"/>
        <w:snapToGrid w:val="0"/>
        <w:spacing w:line="360" w:lineRule="auto"/>
        <w:ind w:firstLine="420" w:firstLineChars="200"/>
        <w:rPr>
          <w:szCs w:val="21"/>
          <w:highlight w:val="none"/>
        </w:rPr>
      </w:pPr>
      <w:r>
        <w:rPr>
          <w:rFonts w:hint="eastAsia"/>
          <w:szCs w:val="21"/>
          <w:highlight w:val="none"/>
          <w:lang w:val="en-US" w:eastAsia="zh-CN"/>
        </w:rPr>
        <w:t>5.14</w:t>
      </w:r>
      <w:r>
        <w:rPr>
          <w:szCs w:val="21"/>
          <w:highlight w:val="none"/>
        </w:rPr>
        <w:t>.2评标委员会评审和比较投标文件后，推荐合格投标人</w:t>
      </w:r>
      <w:r>
        <w:rPr>
          <w:rFonts w:hint="eastAsia"/>
          <w:szCs w:val="21"/>
          <w:highlight w:val="none"/>
          <w:lang w:val="en-US" w:eastAsia="zh-CN"/>
        </w:rPr>
        <w:t>进入</w:t>
      </w:r>
      <w:r>
        <w:rPr>
          <w:szCs w:val="21"/>
          <w:highlight w:val="none"/>
        </w:rPr>
        <w:t>下一轮定标程序</w:t>
      </w:r>
      <w:r>
        <w:rPr>
          <w:rFonts w:hint="eastAsia"/>
          <w:szCs w:val="21"/>
          <w:highlight w:val="none"/>
          <w:lang w:eastAsia="zh-CN"/>
        </w:rPr>
        <w:t>。</w:t>
      </w:r>
      <w:r>
        <w:rPr>
          <w:rFonts w:hint="eastAsia"/>
          <w:szCs w:val="21"/>
          <w:highlight w:val="none"/>
        </w:rPr>
        <w:t>具体</w:t>
      </w:r>
      <w:r>
        <w:rPr>
          <w:rFonts w:hint="eastAsia"/>
          <w:szCs w:val="21"/>
          <w:highlight w:val="none"/>
          <w:lang w:val="en-US" w:eastAsia="zh-CN"/>
        </w:rPr>
        <w:t>评价推荐</w:t>
      </w:r>
      <w:r>
        <w:rPr>
          <w:rFonts w:hint="eastAsia"/>
          <w:szCs w:val="21"/>
          <w:highlight w:val="none"/>
        </w:rPr>
        <w:t>办法在招标文件中明确规定。</w:t>
      </w:r>
      <w:r>
        <w:rPr>
          <w:szCs w:val="21"/>
          <w:highlight w:val="none"/>
        </w:rPr>
        <w:t>并向招标人出具评标报告</w:t>
      </w:r>
      <w:r>
        <w:rPr>
          <w:rFonts w:hint="eastAsia"/>
          <w:szCs w:val="21"/>
          <w:highlight w:val="none"/>
          <w:lang w:eastAsia="zh-CN"/>
        </w:rPr>
        <w:t>，</w:t>
      </w:r>
      <w:r>
        <w:rPr>
          <w:rFonts w:hint="eastAsia"/>
          <w:szCs w:val="21"/>
          <w:highlight w:val="none"/>
          <w:lang w:val="en-US" w:eastAsia="zh-CN"/>
        </w:rPr>
        <w:t>阐述每个投标人的优劣</w:t>
      </w:r>
      <w:r>
        <w:rPr>
          <w:szCs w:val="21"/>
          <w:highlight w:val="none"/>
        </w:rPr>
        <w:t>。</w:t>
      </w:r>
    </w:p>
    <w:p>
      <w:pPr>
        <w:adjustRightInd w:val="0"/>
        <w:snapToGrid w:val="0"/>
        <w:spacing w:line="360" w:lineRule="auto"/>
        <w:ind w:firstLine="420" w:firstLineChars="200"/>
        <w:rPr>
          <w:szCs w:val="21"/>
          <w:highlight w:val="none"/>
        </w:rPr>
      </w:pPr>
      <w:r>
        <w:rPr>
          <w:rFonts w:hint="eastAsia"/>
          <w:szCs w:val="21"/>
          <w:highlight w:val="none"/>
          <w:lang w:val="en-US" w:eastAsia="zh-CN"/>
        </w:rPr>
        <w:t>5.14</w:t>
      </w:r>
      <w:r>
        <w:rPr>
          <w:szCs w:val="21"/>
          <w:highlight w:val="none"/>
        </w:rPr>
        <w:t>.3评标委员会作出无效标或者废标处理后，</w:t>
      </w:r>
      <w:r>
        <w:rPr>
          <w:rFonts w:hint="eastAsia"/>
          <w:szCs w:val="21"/>
          <w:highlight w:val="none"/>
          <w:lang w:val="en-US" w:eastAsia="zh-CN"/>
        </w:rPr>
        <w:t>若</w:t>
      </w:r>
      <w:r>
        <w:rPr>
          <w:szCs w:val="21"/>
          <w:highlight w:val="none"/>
        </w:rPr>
        <w:t>合格投标人数量不足3名，招标人应当宣布本次招标失败，重新招标。</w:t>
      </w:r>
    </w:p>
    <w:p>
      <w:pPr>
        <w:adjustRightInd w:val="0"/>
        <w:snapToGrid w:val="0"/>
        <w:spacing w:line="360" w:lineRule="auto"/>
        <w:ind w:firstLine="420" w:firstLineChars="200"/>
        <w:rPr>
          <w:szCs w:val="21"/>
          <w:highlight w:val="none"/>
        </w:rPr>
      </w:pPr>
      <w:r>
        <w:rPr>
          <w:rFonts w:hint="eastAsia"/>
          <w:szCs w:val="21"/>
          <w:highlight w:val="none"/>
          <w:lang w:val="en-US" w:eastAsia="zh-CN"/>
        </w:rPr>
        <w:t>5.14.4</w:t>
      </w:r>
      <w:r>
        <w:rPr>
          <w:szCs w:val="21"/>
          <w:highlight w:val="none"/>
        </w:rPr>
        <w:t>评标过程中，若评标委员会认为本次招标缺乏竞争性，可以不推荐投标人</w:t>
      </w:r>
      <w:r>
        <w:rPr>
          <w:rFonts w:hint="eastAsia"/>
          <w:szCs w:val="21"/>
          <w:highlight w:val="none"/>
          <w:lang w:eastAsia="zh-CN"/>
        </w:rPr>
        <w:t>进入下一环节</w:t>
      </w:r>
      <w:r>
        <w:rPr>
          <w:szCs w:val="21"/>
          <w:highlight w:val="none"/>
        </w:rPr>
        <w:t>，由招标人重新组织招标。</w:t>
      </w:r>
    </w:p>
    <w:p>
      <w:pPr>
        <w:numPr>
          <w:ilvl w:val="1"/>
          <w:numId w:val="9"/>
        </w:numPr>
        <w:adjustRightInd w:val="0"/>
        <w:snapToGrid w:val="0"/>
        <w:spacing w:line="360" w:lineRule="auto"/>
        <w:ind w:left="7" w:leftChars="0" w:firstLine="373" w:firstLineChars="0"/>
        <w:rPr>
          <w:b/>
          <w:bCs/>
          <w:szCs w:val="21"/>
          <w:highlight w:val="none"/>
        </w:rPr>
      </w:pPr>
      <w:r>
        <w:rPr>
          <w:b/>
          <w:bCs/>
          <w:szCs w:val="21"/>
          <w:highlight w:val="none"/>
        </w:rPr>
        <w:t>评标报告</w:t>
      </w:r>
    </w:p>
    <w:p>
      <w:pPr>
        <w:adjustRightInd w:val="0"/>
        <w:snapToGrid w:val="0"/>
        <w:spacing w:line="360" w:lineRule="auto"/>
        <w:ind w:firstLine="420" w:firstLineChars="200"/>
        <w:rPr>
          <w:szCs w:val="21"/>
          <w:highlight w:val="none"/>
        </w:rPr>
      </w:pPr>
      <w:r>
        <w:rPr>
          <w:rFonts w:hint="eastAsia"/>
          <w:szCs w:val="21"/>
          <w:highlight w:val="none"/>
          <w:lang w:val="en-US" w:eastAsia="zh-CN"/>
        </w:rPr>
        <w:t>5.15</w:t>
      </w:r>
      <w:r>
        <w:rPr>
          <w:szCs w:val="21"/>
          <w:highlight w:val="none"/>
        </w:rPr>
        <w:t>.1评标委员会收集并汇总全体评委评审意见后，由评标委员会主任委员填写《评标报告》。</w:t>
      </w:r>
    </w:p>
    <w:p>
      <w:pPr>
        <w:adjustRightInd w:val="0"/>
        <w:snapToGrid w:val="0"/>
        <w:spacing w:line="360" w:lineRule="auto"/>
        <w:ind w:firstLine="420" w:firstLineChars="200"/>
        <w:rPr>
          <w:rFonts w:hint="default" w:eastAsia="宋体"/>
          <w:highlight w:val="none"/>
          <w:lang w:val="en-US" w:eastAsia="zh-CN"/>
        </w:rPr>
      </w:pPr>
      <w:r>
        <w:rPr>
          <w:rFonts w:hint="eastAsia"/>
          <w:szCs w:val="21"/>
          <w:highlight w:val="none"/>
          <w:lang w:val="en-US" w:eastAsia="zh-CN"/>
        </w:rPr>
        <w:t>5.15</w:t>
      </w:r>
      <w:r>
        <w:rPr>
          <w:szCs w:val="21"/>
          <w:highlight w:val="none"/>
        </w:rPr>
        <w:t>.2评标报告应由评标委员会全体成员签字。对评标结论持有异议的评委，可采用书面方式阐述其不同意见和理由。评标委员会成员拒绝签字的，视为同意评标结论。评标委员会应对此做出书面记录。</w:t>
      </w:r>
    </w:p>
    <w:p>
      <w:pPr>
        <w:adjustRightInd w:val="0"/>
        <w:snapToGrid w:val="0"/>
        <w:spacing w:line="360" w:lineRule="auto"/>
        <w:ind w:firstLine="420" w:firstLineChars="200"/>
        <w:rPr>
          <w:szCs w:val="21"/>
          <w:highlight w:val="none"/>
        </w:rPr>
      </w:pPr>
      <w:r>
        <w:rPr>
          <w:rFonts w:hint="eastAsia"/>
          <w:szCs w:val="21"/>
          <w:highlight w:val="none"/>
          <w:lang w:val="en-US" w:eastAsia="zh-CN"/>
        </w:rPr>
        <w:t>5.15</w:t>
      </w:r>
      <w:r>
        <w:rPr>
          <w:szCs w:val="21"/>
          <w:highlight w:val="none"/>
        </w:rPr>
        <w:t>.3对发现的涉嫌违法、违规行为，应当在评标报告中做出详细说明，做好取证工作，并及时告知行政主管部门。</w:t>
      </w:r>
    </w:p>
    <w:p>
      <w:pPr>
        <w:adjustRightInd w:val="0"/>
        <w:snapToGrid w:val="0"/>
        <w:spacing w:line="360" w:lineRule="auto"/>
        <w:ind w:firstLine="420" w:firstLineChars="200"/>
        <w:rPr>
          <w:rFonts w:hint="default"/>
          <w:szCs w:val="21"/>
          <w:highlight w:val="none"/>
          <w:lang w:val="en-US" w:eastAsia="zh-CN"/>
        </w:rPr>
      </w:pPr>
      <w:r>
        <w:rPr>
          <w:rFonts w:hint="eastAsia"/>
          <w:szCs w:val="21"/>
          <w:highlight w:val="none"/>
          <w:lang w:val="en-US" w:eastAsia="zh-CN"/>
        </w:rPr>
        <w:t>5.15.4招标文件应列明定性评价内容及评价方式。</w:t>
      </w:r>
    </w:p>
    <w:p>
      <w:pPr>
        <w:adjustRightInd w:val="0"/>
        <w:snapToGrid w:val="0"/>
        <w:spacing w:line="360" w:lineRule="auto"/>
        <w:ind w:firstLine="420" w:firstLineChars="200"/>
        <w:rPr>
          <w:szCs w:val="21"/>
          <w:highlight w:val="none"/>
        </w:rPr>
      </w:pPr>
      <w:r>
        <w:rPr>
          <w:rFonts w:hint="eastAsia"/>
          <w:szCs w:val="21"/>
          <w:highlight w:val="none"/>
          <w:lang w:val="en-US" w:eastAsia="zh-CN"/>
        </w:rPr>
        <w:t>5.15</w:t>
      </w:r>
      <w:r>
        <w:rPr>
          <w:szCs w:val="21"/>
          <w:highlight w:val="none"/>
        </w:rPr>
        <w:t>.</w:t>
      </w:r>
      <w:r>
        <w:rPr>
          <w:rFonts w:hint="eastAsia"/>
          <w:szCs w:val="21"/>
          <w:highlight w:val="none"/>
          <w:lang w:val="en-US" w:eastAsia="zh-CN"/>
        </w:rPr>
        <w:t>5</w:t>
      </w:r>
      <w:r>
        <w:rPr>
          <w:szCs w:val="21"/>
          <w:highlight w:val="none"/>
        </w:rPr>
        <w:t>评标委员会向招标人提交评标报告后即解散。评标过程中使用的文件、资料等，都不得带离评标室。</w:t>
      </w:r>
    </w:p>
    <w:p>
      <w:pPr>
        <w:numPr>
          <w:ilvl w:val="1"/>
          <w:numId w:val="9"/>
        </w:numPr>
        <w:adjustRightInd w:val="0"/>
        <w:snapToGrid w:val="0"/>
        <w:spacing w:line="360" w:lineRule="auto"/>
        <w:ind w:left="7" w:leftChars="0" w:firstLine="373" w:firstLineChars="0"/>
        <w:rPr>
          <w:b/>
          <w:bCs/>
          <w:szCs w:val="21"/>
          <w:highlight w:val="none"/>
        </w:rPr>
      </w:pPr>
      <w:r>
        <w:rPr>
          <w:b/>
          <w:bCs/>
          <w:szCs w:val="21"/>
          <w:highlight w:val="none"/>
        </w:rPr>
        <w:t>评标结果公示</w:t>
      </w:r>
    </w:p>
    <w:p>
      <w:pPr>
        <w:adjustRightInd w:val="0"/>
        <w:snapToGrid w:val="0"/>
        <w:spacing w:line="360" w:lineRule="auto"/>
        <w:ind w:firstLine="420" w:firstLineChars="200"/>
        <w:rPr>
          <w:rFonts w:hint="default" w:eastAsiaTheme="minorEastAsia"/>
          <w:szCs w:val="21"/>
          <w:highlight w:val="none"/>
          <w:lang w:val="en-US" w:eastAsia="zh-CN"/>
        </w:rPr>
      </w:pPr>
      <w:r>
        <w:rPr>
          <w:szCs w:val="21"/>
          <w:highlight w:val="none"/>
        </w:rPr>
        <w:t>招标人应当将评标报告（含合格投标人名单）在交易网公示3个工作日。</w:t>
      </w:r>
      <w:r>
        <w:rPr>
          <w:rFonts w:hint="eastAsia"/>
          <w:szCs w:val="21"/>
          <w:highlight w:val="none"/>
          <w:lang w:eastAsia="zh-CN"/>
        </w:rPr>
        <w:t>投标人或者其他利害关系人对评标结果</w:t>
      </w:r>
      <w:r>
        <w:rPr>
          <w:rFonts w:hint="eastAsia"/>
          <w:szCs w:val="21"/>
          <w:highlight w:val="none"/>
          <w:lang w:val="en-US" w:eastAsia="zh-CN"/>
        </w:rPr>
        <w:t>有异议，应当在评标结果公示期间提出。招标人应当自收到异议之日起3日内作出答复；作出答复前，应当暂停招标投标活动。投标人或者其他利害关系人就评标结果提出投诉的，应当先向招标人提出异议，否则不予受理。</w:t>
      </w:r>
    </w:p>
    <w:p>
      <w:pPr>
        <w:numPr>
          <w:ilvl w:val="1"/>
          <w:numId w:val="9"/>
        </w:numPr>
        <w:adjustRightInd w:val="0"/>
        <w:snapToGrid w:val="0"/>
        <w:spacing w:line="360" w:lineRule="auto"/>
        <w:ind w:left="7" w:leftChars="0" w:firstLine="373" w:firstLineChars="0"/>
        <w:rPr>
          <w:b/>
          <w:bCs/>
          <w:szCs w:val="21"/>
          <w:highlight w:val="none"/>
        </w:rPr>
      </w:pPr>
      <w:r>
        <w:rPr>
          <w:b/>
          <w:bCs/>
          <w:szCs w:val="21"/>
          <w:highlight w:val="none"/>
        </w:rPr>
        <w:t>其它规定</w:t>
      </w:r>
    </w:p>
    <w:p>
      <w:pPr>
        <w:adjustRightInd w:val="0"/>
        <w:snapToGrid w:val="0"/>
        <w:spacing w:line="360" w:lineRule="auto"/>
        <w:ind w:firstLine="420" w:firstLineChars="200"/>
        <w:rPr>
          <w:szCs w:val="21"/>
          <w:highlight w:val="none"/>
        </w:rPr>
      </w:pPr>
      <w:r>
        <w:rPr>
          <w:rFonts w:hint="eastAsia"/>
          <w:szCs w:val="21"/>
          <w:highlight w:val="none"/>
          <w:lang w:val="en-US" w:eastAsia="zh-CN"/>
        </w:rPr>
        <w:t>5.17</w:t>
      </w:r>
      <w:r>
        <w:rPr>
          <w:szCs w:val="21"/>
          <w:highlight w:val="none"/>
        </w:rPr>
        <w:t>.1若投标人的投标行为出现违反相关法律法规等政策文件列明的各种情形的，招标人将提请主管部门对相应投标人作不良记录。</w:t>
      </w:r>
    </w:p>
    <w:p>
      <w:pPr>
        <w:adjustRightInd w:val="0"/>
        <w:snapToGrid w:val="0"/>
        <w:spacing w:line="360" w:lineRule="auto"/>
        <w:ind w:firstLine="420" w:firstLineChars="200"/>
        <w:rPr>
          <w:szCs w:val="21"/>
          <w:highlight w:val="none"/>
        </w:rPr>
      </w:pPr>
      <w:r>
        <w:rPr>
          <w:rFonts w:hint="eastAsia"/>
          <w:szCs w:val="21"/>
          <w:highlight w:val="none"/>
          <w:lang w:val="en-US" w:eastAsia="zh-CN"/>
        </w:rPr>
        <w:t>5.17</w:t>
      </w:r>
      <w:r>
        <w:rPr>
          <w:szCs w:val="21"/>
          <w:highlight w:val="none"/>
        </w:rPr>
        <w:t>.2评标过程中，若评标委员依据招标文件的规定要求招标人重新招标，招标人不承担因招标失败给投标人造成的损失。</w:t>
      </w:r>
    </w:p>
    <w:p>
      <w:pPr>
        <w:rPr>
          <w:rFonts w:hint="eastAsia" w:ascii="宋体" w:hAnsi="宋体"/>
          <w:b/>
          <w:kern w:val="0"/>
          <w:highlight w:val="none"/>
        </w:rPr>
      </w:pPr>
    </w:p>
    <w:p>
      <w:pPr>
        <w:pStyle w:val="2"/>
        <w:rPr>
          <w:rFonts w:hint="eastAsia" w:ascii="宋体" w:hAnsi="宋体"/>
          <w:b/>
          <w:kern w:val="0"/>
          <w:highlight w:val="none"/>
        </w:rPr>
      </w:pPr>
    </w:p>
    <w:p>
      <w:pPr>
        <w:pStyle w:val="2"/>
        <w:rPr>
          <w:rFonts w:hint="eastAsia" w:ascii="宋体" w:hAnsi="宋体"/>
          <w:b/>
          <w:kern w:val="0"/>
          <w:highlight w:val="none"/>
        </w:rPr>
      </w:pPr>
    </w:p>
    <w:p>
      <w:pPr>
        <w:rPr>
          <w:rStyle w:val="127"/>
          <w:rFonts w:hint="eastAsia" w:ascii="黑体" w:hAnsi="黑体" w:eastAsia="黑体"/>
          <w:b w:val="0"/>
          <w:bCs w:val="0"/>
          <w:color w:val="auto"/>
          <w:sz w:val="32"/>
          <w:szCs w:val="32"/>
          <w:highlight w:val="none"/>
        </w:rPr>
      </w:pPr>
      <w:bookmarkStart w:id="20" w:name="_Toc29510"/>
      <w:bookmarkStart w:id="21" w:name="_Toc11935"/>
      <w:bookmarkStart w:id="22" w:name="_Toc10428"/>
      <w:r>
        <w:rPr>
          <w:rStyle w:val="127"/>
          <w:rFonts w:hint="eastAsia" w:ascii="黑体" w:hAnsi="黑体" w:eastAsia="黑体"/>
          <w:b w:val="0"/>
          <w:bCs w:val="0"/>
          <w:color w:val="auto"/>
          <w:sz w:val="32"/>
          <w:szCs w:val="32"/>
          <w:highlight w:val="none"/>
        </w:rPr>
        <w:br w:type="page"/>
      </w:r>
    </w:p>
    <w:p>
      <w:pPr>
        <w:widowControl/>
        <w:snapToGrid w:val="0"/>
        <w:ind w:left="10" w:hanging="10"/>
        <w:jc w:val="center"/>
        <w:rPr>
          <w:rStyle w:val="127"/>
          <w:rFonts w:hint="eastAsia" w:ascii="黑体" w:hAnsi="黑体" w:eastAsia="黑体"/>
          <w:b w:val="0"/>
          <w:bCs w:val="0"/>
          <w:color w:val="auto"/>
          <w:sz w:val="32"/>
          <w:szCs w:val="32"/>
          <w:highlight w:val="none"/>
        </w:rPr>
      </w:pPr>
      <w:r>
        <w:rPr>
          <w:rStyle w:val="127"/>
          <w:rFonts w:hint="eastAsia" w:ascii="黑体" w:hAnsi="黑体" w:eastAsia="黑体"/>
          <w:b w:val="0"/>
          <w:bCs w:val="0"/>
          <w:color w:val="auto"/>
          <w:sz w:val="32"/>
          <w:szCs w:val="32"/>
          <w:highlight w:val="none"/>
          <w:lang w:eastAsia="zh-CN"/>
        </w:rPr>
        <w:t>商务</w:t>
      </w:r>
      <w:r>
        <w:rPr>
          <w:rStyle w:val="127"/>
          <w:rFonts w:hint="eastAsia" w:ascii="黑体" w:hAnsi="黑体" w:eastAsia="黑体"/>
          <w:b w:val="0"/>
          <w:bCs w:val="0"/>
          <w:color w:val="auto"/>
          <w:sz w:val="32"/>
          <w:szCs w:val="32"/>
          <w:highlight w:val="none"/>
        </w:rPr>
        <w:t>标评标要素表</w:t>
      </w:r>
    </w:p>
    <w:p>
      <w:pPr>
        <w:widowControl/>
        <w:snapToGrid w:val="0"/>
        <w:ind w:left="10" w:hanging="10"/>
        <w:jc w:val="center"/>
        <w:rPr>
          <w:rStyle w:val="127"/>
          <w:rFonts w:hint="eastAsia" w:ascii="黑体" w:hAnsi="黑体" w:eastAsia="黑体"/>
          <w:b w:val="0"/>
          <w:bCs w:val="0"/>
          <w:color w:val="auto"/>
          <w:sz w:val="32"/>
          <w:szCs w:val="32"/>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754" w:type="dxa"/>
        <w:tblInd w:w="59" w:type="dxa"/>
        <w:tblLayout w:type="fixed"/>
        <w:tblCellMar>
          <w:top w:w="39" w:type="dxa"/>
          <w:left w:w="0" w:type="dxa"/>
          <w:bottom w:w="0" w:type="dxa"/>
          <w:right w:w="29" w:type="dxa"/>
        </w:tblCellMar>
      </w:tblPr>
      <w:tblGrid>
        <w:gridCol w:w="423"/>
        <w:gridCol w:w="1366"/>
        <w:gridCol w:w="2629"/>
        <w:gridCol w:w="543"/>
        <w:gridCol w:w="1769"/>
        <w:gridCol w:w="2024"/>
      </w:tblGrid>
      <w:tr>
        <w:tblPrEx>
          <w:tblLayout w:type="fixed"/>
          <w:tblCellMar>
            <w:top w:w="39" w:type="dxa"/>
            <w:left w:w="0" w:type="dxa"/>
            <w:bottom w:w="0" w:type="dxa"/>
            <w:right w:w="29" w:type="dxa"/>
          </w:tblCellMar>
        </w:tblPrEx>
        <w:trPr>
          <w:trHeight w:val="818"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不合格原因</w:t>
            </w: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投标报价</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投标报价不得高于最高投标限价。投标报价不得低于成本。</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内容格式</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内容格式符合招标文件要求。</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其它不合格</w:t>
            </w:r>
          </w:p>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szCs w:val="21"/>
                <w:highlight w:val="none"/>
              </w:rPr>
              <w:t>情况</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rPr>
                <w:rFonts w:hint="eastAsia" w:cs="宋体"/>
                <w:color w:val="auto"/>
                <w:kern w:val="0"/>
                <w:szCs w:val="21"/>
                <w:highlight w:val="none"/>
              </w:rPr>
            </w:pPr>
            <w:r>
              <w:rPr>
                <w:rFonts w:hint="eastAsia" w:cs="宋体"/>
                <w:color w:val="auto"/>
                <w:kern w:val="0"/>
                <w:szCs w:val="21"/>
                <w:highlight w:val="none"/>
              </w:rPr>
              <w:t>不存在招标文件</w:t>
            </w:r>
            <w:r>
              <w:rPr>
                <w:rFonts w:hint="eastAsia" w:cs="宋体"/>
                <w:color w:val="auto"/>
                <w:kern w:val="0"/>
                <w:szCs w:val="21"/>
                <w:highlight w:val="none"/>
                <w:lang w:eastAsia="zh-CN"/>
              </w:rPr>
              <w:t>否决性条款</w:t>
            </w:r>
            <w:r>
              <w:rPr>
                <w:rFonts w:hint="eastAsia" w:cs="宋体"/>
                <w:color w:val="auto"/>
                <w:kern w:val="0"/>
                <w:szCs w:val="21"/>
                <w:highlight w:val="none"/>
              </w:rPr>
              <w:t>规定的应作无效投标文件处理的情况或法律、法规、规章规定的应作无效投标文件处理的情况。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624" w:hRule="atLeast"/>
        </w:trPr>
        <w:tc>
          <w:tcPr>
            <w:tcW w:w="4418"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综合评价等级：囗合格 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不合格原因：</w:t>
            </w:r>
          </w:p>
        </w:tc>
      </w:tr>
      <w:tr>
        <w:tblPrEx>
          <w:tblLayout w:type="fixed"/>
          <w:tblCellMar>
            <w:top w:w="39" w:type="dxa"/>
            <w:left w:w="0" w:type="dxa"/>
            <w:bottom w:w="0" w:type="dxa"/>
            <w:right w:w="29" w:type="dxa"/>
          </w:tblCellMar>
        </w:tblPrEx>
        <w:trPr>
          <w:trHeight w:val="624" w:hRule="atLeast"/>
        </w:trPr>
        <w:tc>
          <w:tcPr>
            <w:tcW w:w="8754" w:type="dxa"/>
            <w:gridSpan w:val="6"/>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签订合同前应注意和澄清的事项：</w:t>
            </w:r>
          </w:p>
        </w:tc>
      </w:tr>
    </w:tbl>
    <w:p>
      <w:pPr>
        <w:widowControl/>
        <w:ind w:left="210" w:leftChars="-3" w:hanging="216" w:hangingChars="103"/>
        <w:rPr>
          <w:rFonts w:hint="eastAsia" w:ascii="宋体" w:hAnsi="宋体" w:cs="宋体"/>
          <w:color w:val="auto"/>
          <w:kern w:val="0"/>
          <w:szCs w:val="21"/>
          <w:highlight w:val="none"/>
        </w:rPr>
      </w:pPr>
      <w:r>
        <w:rPr>
          <w:rFonts w:hint="eastAsia" w:ascii="宋体" w:hAnsi="宋体" w:cs="宋体"/>
          <w:color w:val="auto"/>
          <w:kern w:val="0"/>
          <w:szCs w:val="21"/>
          <w:highlight w:val="none"/>
        </w:rPr>
        <w:t>评标专家：</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评标日期：</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年</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月</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w:t>
      </w:r>
    </w:p>
    <w:p>
      <w:pPr>
        <w:widowControl/>
        <w:ind w:hanging="8"/>
        <w:rPr>
          <w:rFonts w:hint="eastAsia" w:ascii="宋体" w:hAnsi="宋体" w:cs="宋体"/>
          <w:color w:val="auto"/>
          <w:kern w:val="0"/>
          <w:szCs w:val="21"/>
          <w:highlight w:val="none"/>
        </w:rPr>
      </w:pP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说明：</w:t>
      </w: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1.本表适用于评标专家独立评审使用。</w:t>
      </w:r>
    </w:p>
    <w:p>
      <w:pPr>
        <w:pageBreakBefore w:val="0"/>
        <w:widowControl/>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2.出现招标文件否决性条款规定的情形或不符合本表评审内容要求情形的，评价等级为不合格，其他均应评定为合格。</w:t>
      </w:r>
    </w:p>
    <w:p>
      <w:pPr>
        <w:pageBreakBefore w:val="0"/>
        <w:widowControl/>
        <w:kinsoku/>
        <w:wordWrap/>
        <w:overflowPunct/>
        <w:topLinePunct w:val="0"/>
        <w:autoSpaceDE/>
        <w:autoSpaceDN/>
        <w:bidi w:val="0"/>
        <w:spacing w:after="0"/>
        <w:ind w:left="0" w:leftChars="0" w:right="0" w:rightChars="0" w:hanging="8"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3.综合评价等级分为合格或不合格两个等级，评标要素中有任意一项或以上为“不合格”的，综合评价等级为不合格，每项评标要素评价等级均为合格的，不得以其它理由认定综合评价等级为不合格。</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4.评标专家发现投标文件的中存在签订合同前应注意和澄清的事项等情形的，应当在评标结论中指出。</w:t>
      </w:r>
    </w:p>
    <w:p>
      <w:pPr>
        <w:widowControl/>
        <w:snapToGrid w:val="0"/>
        <w:ind w:left="10" w:hanging="10"/>
        <w:jc w:val="center"/>
        <w:rPr>
          <w:rFonts w:hint="eastAsia" w:ascii="黑体" w:hAnsi="黑体" w:eastAsia="黑体" w:cs="黑体"/>
          <w:color w:val="auto"/>
          <w:sz w:val="32"/>
          <w:szCs w:val="32"/>
          <w:highlight w:val="none"/>
        </w:rPr>
      </w:pPr>
      <w:r>
        <w:rPr>
          <w:rStyle w:val="127"/>
          <w:rFonts w:hint="eastAsia" w:ascii="黑体" w:hAnsi="黑体" w:eastAsia="黑体"/>
          <w:b w:val="0"/>
          <w:bCs w:val="0"/>
          <w:color w:val="auto"/>
          <w:sz w:val="32"/>
          <w:szCs w:val="32"/>
          <w:highlight w:val="none"/>
        </w:rPr>
        <w:br w:type="page"/>
      </w:r>
      <w:r>
        <w:rPr>
          <w:rStyle w:val="127"/>
          <w:rFonts w:hint="eastAsia" w:ascii="黑体" w:hAnsi="黑体" w:eastAsia="黑体" w:cs="黑体"/>
          <w:b w:val="0"/>
          <w:color w:val="auto"/>
          <w:sz w:val="32"/>
          <w:szCs w:val="32"/>
          <w:highlight w:val="none"/>
        </w:rPr>
        <w:t>（三）</w:t>
      </w:r>
      <w:r>
        <w:rPr>
          <w:rFonts w:hint="eastAsia" w:ascii="黑体" w:hAnsi="黑体" w:eastAsia="黑体" w:cs="黑体"/>
          <w:color w:val="auto"/>
          <w:sz w:val="32"/>
          <w:szCs w:val="32"/>
          <w:highlight w:val="none"/>
        </w:rPr>
        <w:t>技术标评标要素表</w:t>
      </w:r>
    </w:p>
    <w:p>
      <w:pPr>
        <w:widowControl/>
        <w:snapToGrid w:val="0"/>
        <w:ind w:left="10" w:hanging="10"/>
        <w:jc w:val="center"/>
        <w:rPr>
          <w:rFonts w:hint="eastAsia" w:ascii="黑体" w:hAnsi="黑体" w:eastAsia="黑体" w:cs="黑体"/>
          <w:color w:val="auto"/>
          <w:sz w:val="32"/>
          <w:szCs w:val="32"/>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672" w:type="dxa"/>
        <w:tblInd w:w="141" w:type="dxa"/>
        <w:tblLayout w:type="fixed"/>
        <w:tblCellMar>
          <w:top w:w="39" w:type="dxa"/>
          <w:left w:w="0" w:type="dxa"/>
          <w:bottom w:w="0" w:type="dxa"/>
          <w:right w:w="29" w:type="dxa"/>
        </w:tblCellMar>
      </w:tblPr>
      <w:tblGrid>
        <w:gridCol w:w="341"/>
        <w:gridCol w:w="1366"/>
        <w:gridCol w:w="2629"/>
        <w:gridCol w:w="543"/>
        <w:gridCol w:w="1769"/>
        <w:gridCol w:w="2024"/>
      </w:tblGrid>
      <w:tr>
        <w:tblPrEx>
          <w:tblLayout w:type="fixed"/>
          <w:tblCellMar>
            <w:top w:w="39" w:type="dxa"/>
            <w:left w:w="0" w:type="dxa"/>
            <w:bottom w:w="0" w:type="dxa"/>
            <w:right w:w="29" w:type="dxa"/>
          </w:tblCellMar>
        </w:tblPrEx>
        <w:trPr>
          <w:trHeight w:val="818"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优点</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黑体" w:hAnsi="黑体" w:eastAsia="黑体" w:cs="黑体"/>
                <w:color w:val="auto"/>
                <w:szCs w:val="21"/>
                <w:highlight w:val="none"/>
              </w:rPr>
            </w:pPr>
            <w:r>
              <w:rPr>
                <w:rFonts w:hint="eastAsia" w:ascii="黑体" w:hAnsi="黑体" w:eastAsia="黑体" w:cs="黑体"/>
                <w:color w:val="auto"/>
                <w:szCs w:val="21"/>
                <w:highlight w:val="none"/>
              </w:rPr>
              <w:t>存在缺陷或签订合同前应注意和澄清事项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auto"/>
              <w:jc w:val="center"/>
              <w:rPr>
                <w:rFonts w:hint="eastAsia" w:cs="宋体"/>
                <w:color w:val="auto"/>
                <w:szCs w:val="21"/>
                <w:highlight w:val="none"/>
              </w:rPr>
            </w:pPr>
            <w:r>
              <w:rPr>
                <w:rFonts w:hint="eastAsia" w:ascii="宋体" w:hAnsi="宋体"/>
                <w:color w:val="auto"/>
                <w:szCs w:val="21"/>
                <w:highlight w:val="none"/>
              </w:rPr>
              <w:t>对监理工作的理解</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left"/>
              <w:rPr>
                <w:rFonts w:hint="eastAsia" w:ascii="宋体" w:hAnsi="宋体" w:cs="宋体"/>
                <w:color w:val="auto"/>
                <w:szCs w:val="21"/>
                <w:highlight w:val="none"/>
              </w:rPr>
            </w:pPr>
            <w:r>
              <w:rPr>
                <w:rFonts w:hint="eastAsia" w:ascii="宋体" w:hAnsi="宋体"/>
                <w:color w:val="auto"/>
                <w:szCs w:val="21"/>
                <w:highlight w:val="none"/>
              </w:rPr>
              <w:t>理解监理工作程度，对监理工作重点难点分析情况。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kern w:val="0"/>
                <w:szCs w:val="21"/>
                <w:highlight w:val="none"/>
              </w:rPr>
              <w:t>其它意见</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624" w:hRule="atLeast"/>
        </w:trPr>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综合评价等级：囗合格 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不合格原因：</w:t>
            </w:r>
          </w:p>
        </w:tc>
      </w:tr>
    </w:tbl>
    <w:p>
      <w:pPr>
        <w:widowControl/>
        <w:ind w:left="210" w:leftChars="-3" w:hanging="216" w:hangingChars="103"/>
        <w:rPr>
          <w:rFonts w:hint="eastAsia" w:ascii="宋体" w:hAnsi="宋体" w:cs="宋体"/>
          <w:color w:val="auto"/>
          <w:kern w:val="0"/>
          <w:szCs w:val="21"/>
          <w:highlight w:val="none"/>
        </w:rPr>
      </w:pPr>
      <w:r>
        <w:rPr>
          <w:rFonts w:hint="eastAsia" w:ascii="宋体" w:hAnsi="宋体" w:cs="宋体"/>
          <w:color w:val="auto"/>
          <w:kern w:val="0"/>
          <w:szCs w:val="21"/>
          <w:highlight w:val="none"/>
        </w:rPr>
        <w:t>评标专家：</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评标日期：</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年</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月</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w:t>
      </w:r>
    </w:p>
    <w:p>
      <w:pPr>
        <w:widowControl/>
        <w:ind w:hanging="8"/>
        <w:rPr>
          <w:rFonts w:hint="eastAsia" w:ascii="宋体" w:hAnsi="宋体" w:cs="宋体"/>
          <w:color w:val="auto"/>
          <w:kern w:val="0"/>
          <w:szCs w:val="21"/>
          <w:highlight w:val="none"/>
        </w:rPr>
      </w:pP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说明：</w:t>
      </w: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1.本表适用于评标专家独立评审使用。</w:t>
      </w:r>
    </w:p>
    <w:p>
      <w:pPr>
        <w:widowControl/>
        <w:ind w:left="-8"/>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.指出各评标要素的优点、存在缺陷或签订合同前应注意和澄清事项。</w:t>
      </w: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.综合评价等级分为合格或不合格两个等级，不合格仅限于投标文件违反国家强制性条文标准的情形或出现招标文件否决性条款规定的情形。</w:t>
      </w:r>
    </w:p>
    <w:p>
      <w:pPr>
        <w:widowControl/>
        <w:ind w:hanging="8"/>
        <w:rPr>
          <w:rFonts w:hint="eastAsia" w:ascii="宋体" w:hAnsi="宋体"/>
          <w:b/>
          <w:kern w:val="0"/>
          <w:sz w:val="30"/>
          <w:highlight w:val="none"/>
        </w:rPr>
      </w:pPr>
      <w:r>
        <w:rPr>
          <w:rFonts w:hint="eastAsia" w:ascii="仿宋_GB2312" w:hAnsi="仿宋" w:eastAsia="仿宋_GB2312"/>
          <w:color w:val="auto"/>
          <w:szCs w:val="21"/>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（六）定标</w:t>
      </w:r>
      <w:bookmarkEnd w:id="20"/>
      <w:bookmarkEnd w:id="21"/>
      <w:bookmarkEnd w:id="22"/>
    </w:p>
    <w:p>
      <w:pPr>
        <w:numPr>
          <w:ilvl w:val="1"/>
          <w:numId w:val="11"/>
        </w:numPr>
        <w:tabs>
          <w:tab w:val="left" w:pos="752"/>
        </w:tabs>
        <w:adjustRightInd w:val="0"/>
        <w:snapToGrid w:val="0"/>
        <w:spacing w:line="360" w:lineRule="auto"/>
        <w:ind w:left="7" w:leftChars="0" w:firstLine="373" w:firstLineChars="0"/>
        <w:rPr>
          <w:szCs w:val="21"/>
          <w:highlight w:val="none"/>
        </w:rPr>
      </w:pPr>
      <w:r>
        <w:rPr>
          <w:rFonts w:hint="eastAsia"/>
          <w:b/>
          <w:bCs/>
          <w:szCs w:val="21"/>
          <w:highlight w:val="none"/>
        </w:rPr>
        <w:t>定标方法</w:t>
      </w:r>
    </w:p>
    <w:p>
      <w:pPr>
        <w:spacing w:line="360" w:lineRule="auto"/>
        <w:ind w:firstLine="420" w:firstLineChars="200"/>
        <w:rPr>
          <w:szCs w:val="21"/>
          <w:highlight w:val="none"/>
        </w:rPr>
      </w:pPr>
      <w:r>
        <w:rPr>
          <w:rFonts w:hint="eastAsia"/>
          <w:szCs w:val="21"/>
          <w:highlight w:val="none"/>
        </w:rPr>
        <w:t>招标人在定标过程中，应当坚持择优与竞价相结合，择优为主。招标人应采用下列方法在评标委员会推荐的合格投标人中确定中标人：</w:t>
      </w:r>
    </w:p>
    <w:p>
      <w:pPr>
        <w:numPr>
          <w:ilvl w:val="1"/>
          <w:numId w:val="11"/>
        </w:numPr>
        <w:tabs>
          <w:tab w:val="left" w:pos="752"/>
        </w:tabs>
        <w:adjustRightInd w:val="0"/>
        <w:snapToGrid w:val="0"/>
        <w:spacing w:line="360" w:lineRule="auto"/>
        <w:ind w:left="7" w:leftChars="0" w:firstLine="373" w:firstLineChars="0"/>
        <w:rPr>
          <w:szCs w:val="21"/>
          <w:highlight w:val="none"/>
        </w:rPr>
      </w:pPr>
      <w:bookmarkStart w:id="23" w:name="票决定标法"/>
      <w:r>
        <w:rPr>
          <w:rFonts w:hint="eastAsia"/>
          <w:b/>
          <w:szCs w:val="21"/>
          <w:highlight w:val="none"/>
        </w:rPr>
        <w:t>票决定标法</w:t>
      </w:r>
    </w:p>
    <w:p>
      <w:pPr>
        <w:adjustRightInd w:val="0"/>
        <w:snapToGrid w:val="0"/>
        <w:spacing w:line="360" w:lineRule="auto"/>
        <w:ind w:firstLine="420" w:firstLineChars="200"/>
        <w:rPr>
          <w:b/>
          <w:szCs w:val="21"/>
          <w:highlight w:val="none"/>
        </w:rPr>
      </w:pPr>
      <w:bookmarkStart w:id="24" w:name="直接票决定标"/>
      <w:r>
        <w:rPr>
          <w:rFonts w:hint="eastAsia"/>
          <w:b/>
          <w:szCs w:val="21"/>
          <w:highlight w:val="none"/>
        </w:rPr>
        <w:t>41.1.1直接票决定标【简单多数（且过半数）】</w:t>
      </w:r>
    </w:p>
    <w:p>
      <w:pPr>
        <w:adjustRightInd w:val="0"/>
        <w:snapToGrid w:val="0"/>
        <w:spacing w:line="360" w:lineRule="auto"/>
        <w:ind w:firstLine="420" w:firstLineChars="200"/>
        <w:rPr>
          <w:szCs w:val="21"/>
          <w:highlight w:val="none"/>
        </w:rPr>
      </w:pPr>
      <w:r>
        <w:rPr>
          <w:rFonts w:hint="eastAsia"/>
          <w:szCs w:val="21"/>
          <w:highlight w:val="none"/>
        </w:rPr>
        <w:t>招标人组建的定标委员会在进入投票范围的投标人中，以每人投票支持一个投标人的方式，得票最多且过半数的投标人为中标人。</w:t>
      </w:r>
    </w:p>
    <w:p>
      <w:pPr>
        <w:adjustRightInd w:val="0"/>
        <w:snapToGrid w:val="0"/>
        <w:spacing w:line="360" w:lineRule="auto"/>
        <w:ind w:firstLine="420" w:firstLineChars="200"/>
        <w:rPr>
          <w:szCs w:val="21"/>
          <w:highlight w:val="none"/>
        </w:rPr>
      </w:pPr>
      <w:r>
        <w:rPr>
          <w:rFonts w:hint="eastAsia"/>
          <w:szCs w:val="21"/>
          <w:highlight w:val="none"/>
        </w:rPr>
        <w:t>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bookmarkEnd w:id="24"/>
    <w:p>
      <w:pPr>
        <w:adjustRightInd w:val="0"/>
        <w:snapToGrid w:val="0"/>
        <w:spacing w:line="360" w:lineRule="auto"/>
        <w:ind w:firstLine="412" w:firstLineChars="196"/>
        <w:rPr>
          <w:b/>
          <w:szCs w:val="21"/>
          <w:highlight w:val="none"/>
        </w:rPr>
      </w:pPr>
      <w:bookmarkStart w:id="25" w:name="逐轮票决定标"/>
      <w:r>
        <w:rPr>
          <w:rFonts w:hint="eastAsia"/>
          <w:b/>
          <w:szCs w:val="21"/>
          <w:highlight w:val="none"/>
        </w:rPr>
        <w:t>41.1.2逐轮票决定标（先票决后淘汰）</w:t>
      </w:r>
    </w:p>
    <w:p>
      <w:pPr>
        <w:adjustRightInd w:val="0"/>
        <w:snapToGrid w:val="0"/>
        <w:spacing w:line="360" w:lineRule="auto"/>
        <w:ind w:firstLine="420" w:firstLineChars="200"/>
        <w:rPr>
          <w:szCs w:val="21"/>
          <w:highlight w:val="none"/>
        </w:rPr>
      </w:pPr>
      <w:r>
        <w:rPr>
          <w:rFonts w:hint="eastAsia"/>
          <w:szCs w:val="21"/>
          <w:highlight w:val="none"/>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adjustRightInd w:val="0"/>
        <w:snapToGrid w:val="0"/>
        <w:spacing w:line="360" w:lineRule="auto"/>
        <w:ind w:firstLine="420" w:firstLineChars="200"/>
        <w:rPr>
          <w:szCs w:val="21"/>
          <w:highlight w:val="none"/>
        </w:rPr>
      </w:pPr>
      <w:r>
        <w:rPr>
          <w:rFonts w:hint="eastAsia"/>
          <w:szCs w:val="21"/>
          <w:highlight w:val="none"/>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adjustRightInd w:val="0"/>
        <w:snapToGrid w:val="0"/>
        <w:spacing w:line="360" w:lineRule="auto"/>
        <w:ind w:firstLine="420" w:firstLineChars="200"/>
        <w:rPr>
          <w:szCs w:val="21"/>
          <w:highlight w:val="none"/>
        </w:rPr>
      </w:pPr>
      <w:r>
        <w:rPr>
          <w:rFonts w:hint="eastAsia"/>
          <w:szCs w:val="21"/>
          <w:highlight w:val="none"/>
        </w:rPr>
        <w:t>根据前述规则，直至剩余1名投标人为中标人。</w:t>
      </w:r>
    </w:p>
    <w:bookmarkEnd w:id="23"/>
    <w:bookmarkEnd w:id="25"/>
    <w:p>
      <w:pPr>
        <w:adjustRightInd w:val="0"/>
        <w:snapToGrid w:val="0"/>
        <w:spacing w:line="360" w:lineRule="auto"/>
        <w:ind w:firstLine="420" w:firstLineChars="200"/>
        <w:rPr>
          <w:szCs w:val="21"/>
          <w:highlight w:val="none"/>
        </w:rPr>
      </w:pPr>
      <w:bookmarkStart w:id="26" w:name="集体议事法定标"/>
      <w:r>
        <w:rPr>
          <w:rFonts w:hint="eastAsia"/>
          <w:b/>
          <w:szCs w:val="21"/>
          <w:highlight w:val="none"/>
        </w:rPr>
        <w:t>41.</w:t>
      </w:r>
      <w:r>
        <w:rPr>
          <w:rFonts w:hint="eastAsia"/>
          <w:b/>
          <w:szCs w:val="21"/>
          <w:highlight w:val="none"/>
          <w:lang w:val="en-US" w:eastAsia="zh-CN"/>
        </w:rPr>
        <w:t>2</w:t>
      </w:r>
      <w:r>
        <w:rPr>
          <w:rFonts w:hint="eastAsia"/>
          <w:b/>
          <w:szCs w:val="21"/>
          <w:highlight w:val="none"/>
        </w:rPr>
        <w:t>集体议事法</w:t>
      </w:r>
    </w:p>
    <w:p>
      <w:pPr>
        <w:spacing w:line="360" w:lineRule="auto"/>
        <w:ind w:firstLine="420" w:firstLineChars="200"/>
        <w:rPr>
          <w:rFonts w:hint="eastAsia"/>
          <w:b/>
          <w:bCs/>
          <w:szCs w:val="21"/>
          <w:highlight w:val="none"/>
        </w:rPr>
      </w:pPr>
      <w:r>
        <w:rPr>
          <w:rFonts w:hint="eastAsia"/>
          <w:szCs w:val="21"/>
          <w:highlight w:val="none"/>
        </w:rPr>
        <w:t>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法定代表人或者主要负责人担任。</w:t>
      </w:r>
      <w:bookmarkEnd w:id="26"/>
    </w:p>
    <w:p>
      <w:pPr>
        <w:numPr>
          <w:ilvl w:val="1"/>
          <w:numId w:val="11"/>
        </w:numPr>
        <w:tabs>
          <w:tab w:val="left" w:pos="752"/>
        </w:tabs>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定标原则</w:t>
      </w:r>
    </w:p>
    <w:p>
      <w:pPr>
        <w:adjustRightInd w:val="0"/>
        <w:snapToGrid w:val="0"/>
        <w:spacing w:line="360" w:lineRule="auto"/>
        <w:ind w:firstLine="42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定标环节的择优因素主要考虑企业资质、企业规模、科技创新能力、项目管理人员经验与水平、同类工程经验（业绩）及履约评价、企业及其人员的廉政记录、信用等因素。同等条件下，招标人可以优先考虑投标人服务便利度、合同稳定性、质量安全保障性、劳资纠纷可控度等因素。招标人可以根据项目实际情况增加择优素，也可以综合考虑择优因素或按择优因素的重要性，对投标人进行逐级淘汰。</w:t>
      </w:r>
    </w:p>
    <w:p>
      <w:pPr>
        <w:adjustRightInd w:val="0"/>
        <w:snapToGrid w:val="0"/>
        <w:spacing w:line="360" w:lineRule="auto"/>
        <w:ind w:firstLine="420" w:firstLineChars="200"/>
        <w:rPr>
          <w:rFonts w:hint="eastAsia"/>
          <w:highlight w:val="none"/>
          <w:lang w:eastAsia="zh-CN"/>
        </w:rPr>
      </w:pPr>
      <w:r>
        <w:rPr>
          <w:rFonts w:hint="eastAsia" w:hAnsi="宋体"/>
          <w:color w:val="000000" w:themeColor="text1"/>
          <w:kern w:val="0"/>
          <w:szCs w:val="21"/>
          <w:highlight w:val="none"/>
          <w14:textFill>
            <w14:solidFill>
              <w14:schemeClr w14:val="tx1"/>
            </w14:solidFill>
          </w14:textFill>
        </w:rPr>
        <w:t>招标人可以结合项目实际要求投标人提供资信标作为定标参考因素之一</w:t>
      </w:r>
      <w:r>
        <w:rPr>
          <w:rFonts w:hint="eastAsia" w:hAnsi="宋体"/>
          <w:color w:val="000000" w:themeColor="text1"/>
          <w:kern w:val="0"/>
          <w:szCs w:val="21"/>
          <w:highlight w:val="none"/>
          <w:lang w:eastAsia="zh-CN"/>
          <w14:textFill>
            <w14:solidFill>
              <w14:schemeClr w14:val="tx1"/>
            </w14:solidFill>
          </w14:textFill>
        </w:rPr>
        <w:t>。</w:t>
      </w:r>
    </w:p>
    <w:p>
      <w:pPr>
        <w:numPr>
          <w:ilvl w:val="1"/>
          <w:numId w:val="11"/>
        </w:numPr>
        <w:tabs>
          <w:tab w:val="left" w:pos="752"/>
        </w:tabs>
        <w:adjustRightInd w:val="0"/>
        <w:snapToGrid w:val="0"/>
        <w:spacing w:line="360" w:lineRule="auto"/>
        <w:ind w:left="7" w:leftChars="0" w:firstLine="373" w:firstLineChars="0"/>
        <w:rPr>
          <w:rFonts w:hint="eastAsia"/>
          <w:szCs w:val="21"/>
          <w:highlight w:val="none"/>
        </w:rPr>
      </w:pPr>
      <w:r>
        <w:rPr>
          <w:rFonts w:hint="eastAsia"/>
          <w:b/>
          <w:bCs/>
          <w:szCs w:val="21"/>
          <w:highlight w:val="none"/>
        </w:rPr>
        <w:t>定标程序</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6.4.1</w:t>
      </w:r>
      <w:r>
        <w:rPr>
          <w:rFonts w:hint="eastAsia"/>
          <w:szCs w:val="21"/>
          <w:highlight w:val="none"/>
        </w:rPr>
        <w:t>定标准备</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lang w:val="en-US" w:eastAsia="zh-CN"/>
        </w:rPr>
        <w:t>6.4.1</w:t>
      </w:r>
      <w:r>
        <w:rPr>
          <w:rFonts w:hint="eastAsia"/>
          <w:szCs w:val="21"/>
          <w:highlight w:val="none"/>
        </w:rPr>
        <w:t>.1在开展定标前，招标人可以自行或委托专业机构开展清标工作。清标工作</w:t>
      </w:r>
      <w:r>
        <w:rPr>
          <w:rFonts w:hint="eastAsia"/>
          <w:szCs w:val="21"/>
          <w:highlight w:val="none"/>
          <w:lang w:val="en-US" w:eastAsia="zh-CN"/>
        </w:rPr>
        <w:t>可</w:t>
      </w:r>
      <w:r>
        <w:rPr>
          <w:rFonts w:hint="eastAsia"/>
          <w:szCs w:val="21"/>
          <w:highlight w:val="none"/>
        </w:rPr>
        <w:t>包括对投标人及拟派项目负责人进行考察、质询，对投标文件或方案进行澄清与复核，</w:t>
      </w:r>
      <w:r>
        <w:rPr>
          <w:rFonts w:hint="eastAsia"/>
          <w:szCs w:val="21"/>
          <w:highlight w:val="none"/>
          <w:lang w:val="en-US" w:eastAsia="zh-CN"/>
        </w:rPr>
        <w:t>报价文件的校核审查、</w:t>
      </w:r>
      <w:r>
        <w:rPr>
          <w:rFonts w:hint="eastAsia"/>
          <w:szCs w:val="21"/>
          <w:highlight w:val="none"/>
        </w:rPr>
        <w:t>对项目后期可能遇到的风险和问题进行评估等。</w:t>
      </w:r>
      <w:r>
        <w:rPr>
          <w:rFonts w:hint="eastAsia"/>
          <w:szCs w:val="21"/>
          <w:highlight w:val="none"/>
          <w:lang w:eastAsia="zh-CN"/>
        </w:rPr>
        <w:t>定标委员会不得参与考察、质询和清标。</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6.4.1.2</w:t>
      </w:r>
      <w:r>
        <w:rPr>
          <w:rFonts w:hint="eastAsia"/>
          <w:szCs w:val="21"/>
          <w:highlight w:val="none"/>
        </w:rPr>
        <w:t>清标工作完成后，招标人应当形成清标报告，作为定标的辅助。清标报告内容应当客观公正、真实有效。</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6.4.1.3</w:t>
      </w:r>
      <w:r>
        <w:rPr>
          <w:rFonts w:hint="eastAsia"/>
          <w:szCs w:val="21"/>
          <w:highlight w:val="none"/>
        </w:rPr>
        <w:t>需要投标单位进行配合的定标准备工作请投标人予以重视并积极提供配合条件，未能配合招标人完成定标准备工作的，将可能失去被推荐中标的机会；</w:t>
      </w:r>
    </w:p>
    <w:p>
      <w:pPr>
        <w:pStyle w:val="2"/>
        <w:rPr>
          <w:rFonts w:hint="eastAsia"/>
          <w:highlight w:val="none"/>
        </w:rPr>
      </w:pP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6.4.2</w:t>
      </w:r>
      <w:r>
        <w:rPr>
          <w:rFonts w:hint="eastAsia"/>
          <w:szCs w:val="21"/>
          <w:highlight w:val="none"/>
        </w:rPr>
        <w:t>评定分离项目定标准备工作完成后，按下列程序组织定标：</w:t>
      </w:r>
    </w:p>
    <w:p>
      <w:pPr>
        <w:adjustRightInd w:val="0"/>
        <w:snapToGrid w:val="0"/>
        <w:spacing w:line="360" w:lineRule="auto"/>
        <w:ind w:firstLine="420" w:firstLineChars="200"/>
        <w:rPr>
          <w:rFonts w:hint="eastAsia"/>
          <w:color w:val="FF0000"/>
          <w:szCs w:val="21"/>
          <w:highlight w:val="none"/>
        </w:rPr>
      </w:pPr>
      <w:r>
        <w:rPr>
          <w:rFonts w:hint="eastAsia"/>
          <w:color w:val="auto"/>
          <w:szCs w:val="21"/>
          <w:highlight w:val="none"/>
        </w:rPr>
        <w:t>（1）招标人组建定标委员会。</w:t>
      </w:r>
      <w:r>
        <w:rPr>
          <w:rFonts w:hint="eastAsia"/>
          <w:szCs w:val="21"/>
          <w:highlight w:val="none"/>
        </w:rPr>
        <w:t>定标委员会成员从</w:t>
      </w:r>
      <w:r>
        <w:rPr>
          <w:rFonts w:hint="eastAsia"/>
          <w:szCs w:val="21"/>
          <w:highlight w:val="none"/>
          <w:lang w:eastAsia="zh-CN"/>
        </w:rPr>
        <w:t>定标委员会</w:t>
      </w:r>
      <w:r>
        <w:rPr>
          <w:rFonts w:hint="eastAsia"/>
          <w:szCs w:val="21"/>
          <w:highlight w:val="none"/>
        </w:rPr>
        <w:t>人员库中抽取产生，成员数量为 7人或以上单数。定标委员会成员应当由招标人从 2 倍以上符合上述条件的备选人员名单中随机抽取确定。招标人的法定代表人或者主要负责人可以从本单位直接指定部分定标委员会成员，但总数不得超过定标委员会成员总数的三分之一。招标人的法定代表人或者主要负责人为定标委员会成员的，上述总额应包括其本人在内</w:t>
      </w:r>
      <w:r>
        <w:rPr>
          <w:rFonts w:hint="eastAsia"/>
          <w:color w:val="FF0000"/>
          <w:szCs w:val="21"/>
          <w:highlight w:val="none"/>
        </w:rPr>
        <w:t>。</w:t>
      </w:r>
    </w:p>
    <w:p>
      <w:pPr>
        <w:adjustRightInd w:val="0"/>
        <w:snapToGrid w:val="0"/>
        <w:spacing w:line="360" w:lineRule="auto"/>
        <w:ind w:firstLine="420" w:firstLineChars="200"/>
        <w:rPr>
          <w:rFonts w:hint="eastAsia"/>
          <w:szCs w:val="21"/>
          <w:highlight w:val="none"/>
        </w:rPr>
      </w:pPr>
      <w:r>
        <w:rPr>
          <w:rFonts w:hint="eastAsia"/>
          <w:szCs w:val="21"/>
          <w:highlight w:val="none"/>
        </w:rPr>
        <w:t>（2）招标人在交易中心召开定标会。</w:t>
      </w:r>
    </w:p>
    <w:p>
      <w:pPr>
        <w:adjustRightInd w:val="0"/>
        <w:snapToGrid w:val="0"/>
        <w:spacing w:line="360" w:lineRule="auto"/>
        <w:ind w:firstLine="420" w:firstLineChars="200"/>
        <w:rPr>
          <w:rFonts w:hint="eastAsia"/>
          <w:szCs w:val="21"/>
          <w:highlight w:val="none"/>
        </w:rPr>
      </w:pPr>
      <w:r>
        <w:rPr>
          <w:rFonts w:hint="eastAsia"/>
          <w:szCs w:val="21"/>
          <w:highlight w:val="none"/>
        </w:rPr>
        <w:t>（3）定标包括下列主要程序：</w:t>
      </w:r>
    </w:p>
    <w:p>
      <w:pPr>
        <w:adjustRightInd w:val="0"/>
        <w:snapToGrid w:val="0"/>
        <w:spacing w:line="360" w:lineRule="auto"/>
        <w:ind w:firstLine="420" w:firstLineChars="200"/>
        <w:rPr>
          <w:rFonts w:hint="eastAsia"/>
          <w:szCs w:val="21"/>
          <w:highlight w:val="none"/>
          <w:lang w:eastAsia="zh-CN"/>
        </w:rPr>
      </w:pPr>
      <w:r>
        <w:rPr>
          <w:rFonts w:hint="eastAsia"/>
          <w:szCs w:val="21"/>
          <w:highlight w:val="none"/>
        </w:rPr>
        <w:t>①</w:t>
      </w:r>
      <w:r>
        <w:rPr>
          <w:rFonts w:hint="eastAsia"/>
          <w:szCs w:val="21"/>
          <w:highlight w:val="none"/>
          <w:lang w:eastAsia="zh-CN"/>
        </w:rPr>
        <w:t>推荐</w:t>
      </w:r>
      <w:r>
        <w:rPr>
          <w:rFonts w:hint="eastAsia"/>
          <w:szCs w:val="21"/>
          <w:highlight w:val="none"/>
        </w:rPr>
        <w:t>定标委员会</w:t>
      </w:r>
      <w:r>
        <w:rPr>
          <w:rFonts w:hint="eastAsia"/>
          <w:szCs w:val="21"/>
          <w:highlight w:val="none"/>
          <w:lang w:eastAsia="zh-CN"/>
        </w:rPr>
        <w:t>组长。</w:t>
      </w:r>
      <w:r>
        <w:rPr>
          <w:rFonts w:hint="eastAsia"/>
          <w:szCs w:val="21"/>
          <w:highlight w:val="none"/>
        </w:rPr>
        <w:t>招标人的法定代表人或者主要负责人参加定标委员会的，由其直接担任定标委员会组长。</w:t>
      </w:r>
    </w:p>
    <w:p>
      <w:pPr>
        <w:adjustRightInd w:val="0"/>
        <w:snapToGrid w:val="0"/>
        <w:spacing w:line="360" w:lineRule="auto"/>
        <w:ind w:firstLine="420" w:firstLineChars="200"/>
        <w:rPr>
          <w:rFonts w:hint="eastAsia"/>
          <w:szCs w:val="21"/>
          <w:highlight w:val="none"/>
        </w:rPr>
      </w:pPr>
      <w:r>
        <w:rPr>
          <w:rFonts w:hint="eastAsia"/>
          <w:szCs w:val="21"/>
          <w:highlight w:val="none"/>
        </w:rPr>
        <w:t>②招标人的相关人员向定标委员会介绍相关情况；</w:t>
      </w:r>
    </w:p>
    <w:p>
      <w:pPr>
        <w:adjustRightInd w:val="0"/>
        <w:snapToGrid w:val="0"/>
        <w:spacing w:line="360" w:lineRule="auto"/>
        <w:ind w:firstLine="420" w:firstLineChars="200"/>
        <w:rPr>
          <w:rFonts w:hint="eastAsia"/>
          <w:szCs w:val="21"/>
          <w:highlight w:val="none"/>
        </w:rPr>
      </w:pPr>
      <w:r>
        <w:rPr>
          <w:rFonts w:hint="eastAsia"/>
          <w:szCs w:val="21"/>
          <w:highlight w:val="none"/>
        </w:rPr>
        <w:t>③定标委员会成员阅读评标报告等资料；</w:t>
      </w:r>
    </w:p>
    <w:p>
      <w:pPr>
        <w:adjustRightInd w:val="0"/>
        <w:snapToGrid w:val="0"/>
        <w:spacing w:line="360" w:lineRule="auto"/>
        <w:ind w:firstLine="420" w:firstLineChars="200"/>
        <w:rPr>
          <w:rFonts w:hint="eastAsia"/>
          <w:szCs w:val="21"/>
          <w:highlight w:val="none"/>
        </w:rPr>
      </w:pPr>
      <w:r>
        <w:rPr>
          <w:rFonts w:hint="eastAsia"/>
          <w:szCs w:val="21"/>
          <w:highlight w:val="none"/>
        </w:rPr>
        <w:t>④定标委员会成员投票；</w:t>
      </w:r>
    </w:p>
    <w:p>
      <w:pPr>
        <w:adjustRightInd w:val="0"/>
        <w:snapToGrid w:val="0"/>
        <w:spacing w:line="360" w:lineRule="auto"/>
        <w:ind w:firstLine="420" w:firstLineChars="200"/>
        <w:rPr>
          <w:rFonts w:hint="eastAsia"/>
          <w:szCs w:val="21"/>
          <w:highlight w:val="none"/>
        </w:rPr>
      </w:pPr>
      <w:r>
        <w:rPr>
          <w:rFonts w:hint="eastAsia"/>
          <w:szCs w:val="21"/>
          <w:highlight w:val="none"/>
        </w:rPr>
        <w:t>⑤统计票数；</w:t>
      </w:r>
    </w:p>
    <w:p>
      <w:pPr>
        <w:adjustRightInd w:val="0"/>
        <w:snapToGrid w:val="0"/>
        <w:spacing w:line="360" w:lineRule="auto"/>
        <w:ind w:firstLine="420" w:firstLineChars="200"/>
        <w:rPr>
          <w:rFonts w:hint="eastAsia"/>
          <w:szCs w:val="21"/>
          <w:highlight w:val="none"/>
        </w:rPr>
      </w:pPr>
      <w:r>
        <w:rPr>
          <w:rFonts w:hint="eastAsia"/>
          <w:szCs w:val="21"/>
          <w:highlight w:val="none"/>
        </w:rPr>
        <w:t>⑥定标委员会按有关规定及招标文件约定的定标方法确定一名中标人。</w:t>
      </w:r>
    </w:p>
    <w:p>
      <w:pPr>
        <w:pStyle w:val="2"/>
        <w:rPr>
          <w:rFonts w:hint="eastAsia"/>
          <w:highlight w:val="none"/>
        </w:rPr>
      </w:pPr>
    </w:p>
    <w:p>
      <w:pPr>
        <w:numPr>
          <w:ilvl w:val="1"/>
          <w:numId w:val="11"/>
        </w:numPr>
        <w:tabs>
          <w:tab w:val="left" w:pos="752"/>
        </w:tabs>
        <w:adjustRightInd w:val="0"/>
        <w:snapToGrid w:val="0"/>
        <w:spacing w:line="360" w:lineRule="auto"/>
        <w:ind w:left="7" w:leftChars="0" w:firstLine="373" w:firstLineChars="0"/>
        <w:rPr>
          <w:highlight w:val="none"/>
        </w:rPr>
      </w:pPr>
      <w:r>
        <w:rPr>
          <w:rFonts w:hint="eastAsia"/>
          <w:szCs w:val="21"/>
          <w:highlight w:val="none"/>
        </w:rPr>
        <w:t>招标人应当事先制定定标工作规则，对不同类别项目择优竞价结合方式、择优因素、竞价方法予以明确，并报招标人内设的纪检监察机构备案。定标时必须严格遵守定标工作规则，不得临时改变规则。</w:t>
      </w:r>
    </w:p>
    <w:p>
      <w:pPr>
        <w:numPr>
          <w:ilvl w:val="1"/>
          <w:numId w:val="11"/>
        </w:numPr>
        <w:tabs>
          <w:tab w:val="left" w:pos="752"/>
        </w:tabs>
        <w:adjustRightInd w:val="0"/>
        <w:snapToGrid w:val="0"/>
        <w:spacing w:line="360" w:lineRule="auto"/>
        <w:ind w:left="7" w:leftChars="0" w:firstLine="373" w:firstLineChars="0"/>
        <w:rPr>
          <w:szCs w:val="21"/>
          <w:highlight w:val="none"/>
        </w:rPr>
      </w:pPr>
      <w:r>
        <w:rPr>
          <w:rFonts w:hint="eastAsia"/>
          <w:szCs w:val="21"/>
          <w:highlight w:val="none"/>
        </w:rPr>
        <w:t>在招标公告发布前，招标人应当结合项目实际，根据定标工作规则，制定项目定标方案，并报招标人内设的纪检监察机构备案。项目定标方案应当对清标内容、定标操作细则、择优要素及优先级别等内容予以明确。</w:t>
      </w:r>
    </w:p>
    <w:p>
      <w:pPr>
        <w:numPr>
          <w:ilvl w:val="1"/>
          <w:numId w:val="11"/>
        </w:numPr>
        <w:tabs>
          <w:tab w:val="left" w:pos="752"/>
        </w:tabs>
        <w:adjustRightInd w:val="0"/>
        <w:snapToGrid w:val="0"/>
        <w:spacing w:line="360" w:lineRule="auto"/>
        <w:ind w:left="7" w:leftChars="0" w:firstLine="373" w:firstLineChars="0"/>
        <w:rPr>
          <w:color w:val="000000"/>
          <w:szCs w:val="21"/>
          <w:highlight w:val="none"/>
        </w:rPr>
      </w:pPr>
      <w:r>
        <w:rPr>
          <w:rFonts w:hint="eastAsia"/>
          <w:color w:val="000000"/>
          <w:szCs w:val="21"/>
          <w:highlight w:val="none"/>
        </w:rPr>
        <w:t>招标人应同时组建3人以上的监督小组，对定标全过程进行监督。</w:t>
      </w:r>
    </w:p>
    <w:p>
      <w:pPr>
        <w:numPr>
          <w:ilvl w:val="1"/>
          <w:numId w:val="11"/>
        </w:numPr>
        <w:tabs>
          <w:tab w:val="left" w:pos="752"/>
        </w:tabs>
        <w:adjustRightInd w:val="0"/>
        <w:snapToGrid w:val="0"/>
        <w:spacing w:line="360" w:lineRule="auto"/>
        <w:ind w:left="7" w:leftChars="0" w:firstLine="373" w:firstLineChars="0"/>
        <w:rPr>
          <w:color w:val="000000"/>
          <w:szCs w:val="21"/>
          <w:highlight w:val="none"/>
        </w:rPr>
      </w:pPr>
      <w:r>
        <w:rPr>
          <w:rFonts w:hint="eastAsia"/>
          <w:color w:val="000000"/>
          <w:szCs w:val="21"/>
          <w:highlight w:val="none"/>
        </w:rPr>
        <w:t>采用票决定标法、集体议事法定标的，招标人应当自评标结束后10个工作日内进入潮州市公共资源交易中心定标。不能按时定标的，应当通过交易网公示延期原因和最终定标时间。</w:t>
      </w:r>
    </w:p>
    <w:p>
      <w:pPr>
        <w:numPr>
          <w:ilvl w:val="1"/>
          <w:numId w:val="11"/>
        </w:numPr>
        <w:tabs>
          <w:tab w:val="left" w:pos="752"/>
        </w:tabs>
        <w:adjustRightInd w:val="0"/>
        <w:snapToGrid w:val="0"/>
        <w:spacing w:line="360" w:lineRule="auto"/>
        <w:ind w:left="7" w:leftChars="0" w:firstLine="373" w:firstLineChars="0"/>
        <w:rPr>
          <w:szCs w:val="21"/>
          <w:highlight w:val="none"/>
        </w:rPr>
      </w:pPr>
      <w:r>
        <w:rPr>
          <w:rFonts w:hint="eastAsia"/>
          <w:color w:val="000000"/>
          <w:szCs w:val="21"/>
          <w:highlight w:val="none"/>
        </w:rPr>
        <w:t>定标委员会成员提交选票须说明推荐理由，并打印选票签名确认，定标过程公开、公平、公正。</w:t>
      </w:r>
    </w:p>
    <w:p>
      <w:pPr>
        <w:numPr>
          <w:ilvl w:val="1"/>
          <w:numId w:val="11"/>
        </w:numPr>
        <w:tabs>
          <w:tab w:val="left" w:pos="752"/>
        </w:tabs>
        <w:adjustRightInd w:val="0"/>
        <w:snapToGrid w:val="0"/>
        <w:spacing w:line="360" w:lineRule="auto"/>
        <w:ind w:left="7" w:leftChars="0" w:firstLine="373" w:firstLineChars="0"/>
        <w:rPr>
          <w:szCs w:val="21"/>
          <w:highlight w:val="none"/>
        </w:rPr>
      </w:pPr>
      <w:r>
        <w:rPr>
          <w:rFonts w:hint="eastAsia"/>
          <w:szCs w:val="21"/>
          <w:highlight w:val="none"/>
        </w:rPr>
        <w:t>招标人应在定标结束后将定标记录、定标报告交由潮州市公共资源交易中心归档并同时公示定标结果和中标结果。定标记录应包括定标委员会会议过程、正式成员名单。定标报告应包括定标委员会的产生过程、定标程序及定标结果等内容。招标人提交中标信息确认时，应认真核对中标公示信息，无误后再签名确认。</w:t>
      </w:r>
    </w:p>
    <w:p>
      <w:pPr>
        <w:numPr>
          <w:ilvl w:val="1"/>
          <w:numId w:val="11"/>
        </w:numPr>
        <w:tabs>
          <w:tab w:val="left" w:pos="752"/>
        </w:tabs>
        <w:adjustRightInd w:val="0"/>
        <w:snapToGrid w:val="0"/>
        <w:spacing w:line="360" w:lineRule="auto"/>
        <w:ind w:left="7" w:leftChars="0" w:firstLine="373" w:firstLineChars="0"/>
        <w:rPr>
          <w:rFonts w:hint="eastAsia"/>
          <w:szCs w:val="21"/>
          <w:highlight w:val="none"/>
        </w:rPr>
      </w:pPr>
      <w:r>
        <w:rPr>
          <w:rFonts w:hint="eastAsia"/>
          <w:szCs w:val="21"/>
          <w:highlight w:val="none"/>
        </w:rPr>
        <w:t>招标人应当向定标委员会提供定标方案、清标报告作为定标辅助材料。定标结束后，定标方案、清标报告及定标委员投票结果等定标过程资料应当留存备查。</w:t>
      </w:r>
    </w:p>
    <w:p>
      <w:pPr>
        <w:numPr>
          <w:ilvl w:val="1"/>
          <w:numId w:val="11"/>
        </w:numPr>
        <w:tabs>
          <w:tab w:val="left" w:pos="752"/>
        </w:tabs>
        <w:adjustRightInd w:val="0"/>
        <w:snapToGrid w:val="0"/>
        <w:spacing w:line="360" w:lineRule="auto"/>
        <w:ind w:left="7" w:leftChars="0" w:firstLine="373" w:firstLineChars="0"/>
        <w:rPr>
          <w:b/>
          <w:bCs/>
          <w:color w:val="000000"/>
          <w:szCs w:val="21"/>
          <w:highlight w:val="none"/>
        </w:rPr>
      </w:pPr>
      <w:r>
        <w:rPr>
          <w:rFonts w:hint="eastAsia"/>
          <w:b/>
          <w:bCs/>
          <w:szCs w:val="21"/>
          <w:highlight w:val="none"/>
        </w:rPr>
        <w:t>定标后有下列情形之一，招标人可以从评审合格的其他投标人中采用原招标文件规定的定标方法，由原定标委员会确定中标人</w:t>
      </w:r>
      <w:r>
        <w:rPr>
          <w:rFonts w:hint="eastAsia"/>
          <w:b/>
          <w:bCs/>
          <w:color w:val="000000"/>
          <w:szCs w:val="21"/>
          <w:highlight w:val="none"/>
        </w:rPr>
        <w:t>：</w:t>
      </w:r>
    </w:p>
    <w:p>
      <w:pPr>
        <w:spacing w:line="360" w:lineRule="auto"/>
        <w:ind w:firstLine="420" w:firstLineChars="200"/>
        <w:rPr>
          <w:rFonts w:hint="eastAsia" w:eastAsiaTheme="minorEastAsia"/>
          <w:color w:val="000000"/>
          <w:szCs w:val="21"/>
          <w:highlight w:val="none"/>
          <w:lang w:eastAsia="zh-CN"/>
        </w:rPr>
      </w:pPr>
      <w:r>
        <w:rPr>
          <w:rFonts w:hint="eastAsia"/>
          <w:color w:val="000000"/>
          <w:szCs w:val="21"/>
          <w:highlight w:val="none"/>
          <w:lang w:val="en-US" w:eastAsia="zh-CN"/>
        </w:rPr>
        <w:t>6.12</w:t>
      </w:r>
      <w:r>
        <w:rPr>
          <w:rFonts w:hint="eastAsia"/>
          <w:color w:val="000000"/>
          <w:szCs w:val="21"/>
          <w:highlight w:val="none"/>
        </w:rPr>
        <w:t>.1中标人放弃中标资格或者拒不签订合同</w:t>
      </w:r>
      <w:r>
        <w:rPr>
          <w:rFonts w:hint="eastAsia"/>
          <w:color w:val="000000"/>
          <w:szCs w:val="21"/>
          <w:highlight w:val="none"/>
          <w:lang w:eastAsia="zh-CN"/>
        </w:rPr>
        <w:t>。</w:t>
      </w:r>
    </w:p>
    <w:p>
      <w:pPr>
        <w:spacing w:line="360" w:lineRule="auto"/>
        <w:ind w:firstLine="420" w:firstLineChars="200"/>
        <w:rPr>
          <w:rFonts w:hint="eastAsia" w:eastAsiaTheme="minorEastAsia"/>
          <w:color w:val="000000"/>
          <w:szCs w:val="21"/>
          <w:highlight w:val="none"/>
          <w:lang w:eastAsia="zh-CN"/>
        </w:rPr>
      </w:pPr>
      <w:r>
        <w:rPr>
          <w:rFonts w:hint="eastAsia"/>
          <w:color w:val="000000"/>
          <w:szCs w:val="21"/>
          <w:highlight w:val="none"/>
          <w:lang w:val="en-US" w:eastAsia="zh-CN"/>
        </w:rPr>
        <w:t>6.12</w:t>
      </w:r>
      <w:r>
        <w:rPr>
          <w:rFonts w:hint="eastAsia"/>
          <w:color w:val="000000"/>
          <w:szCs w:val="21"/>
          <w:highlight w:val="none"/>
        </w:rPr>
        <w:t>.2中标人不按照招标文件要求提交履约担保</w:t>
      </w:r>
      <w:r>
        <w:rPr>
          <w:rFonts w:hint="eastAsia"/>
          <w:color w:val="000000"/>
          <w:szCs w:val="21"/>
          <w:highlight w:val="none"/>
          <w:lang w:eastAsia="zh-CN"/>
        </w:rPr>
        <w:t>。</w:t>
      </w:r>
    </w:p>
    <w:p>
      <w:pPr>
        <w:spacing w:line="360" w:lineRule="auto"/>
        <w:ind w:firstLine="420" w:firstLineChars="200"/>
        <w:rPr>
          <w:color w:val="000000"/>
          <w:szCs w:val="21"/>
          <w:highlight w:val="none"/>
        </w:rPr>
      </w:pPr>
      <w:r>
        <w:rPr>
          <w:rFonts w:hint="eastAsia"/>
          <w:color w:val="000000"/>
          <w:szCs w:val="21"/>
          <w:highlight w:val="none"/>
          <w:lang w:val="en-US" w:eastAsia="zh-CN"/>
        </w:rPr>
        <w:t>6.12</w:t>
      </w:r>
      <w:r>
        <w:rPr>
          <w:rFonts w:hint="eastAsia"/>
          <w:color w:val="000000"/>
          <w:szCs w:val="21"/>
          <w:highlight w:val="none"/>
        </w:rPr>
        <w:t>.3被查实存在影响中标结果违法行为。</w:t>
      </w:r>
    </w:p>
    <w:p>
      <w:pPr>
        <w:numPr>
          <w:ilvl w:val="1"/>
          <w:numId w:val="11"/>
        </w:numPr>
        <w:tabs>
          <w:tab w:val="left" w:pos="752"/>
        </w:tabs>
        <w:adjustRightInd w:val="0"/>
        <w:snapToGrid w:val="0"/>
        <w:spacing w:line="360" w:lineRule="auto"/>
        <w:ind w:left="7" w:leftChars="0" w:firstLine="373" w:firstLineChars="0"/>
        <w:rPr>
          <w:b/>
          <w:bCs/>
          <w:color w:val="000000"/>
          <w:szCs w:val="21"/>
          <w:highlight w:val="none"/>
        </w:rPr>
      </w:pPr>
      <w:r>
        <w:rPr>
          <w:rFonts w:hint="eastAsia"/>
          <w:b/>
          <w:bCs/>
          <w:color w:val="000000"/>
          <w:szCs w:val="21"/>
          <w:highlight w:val="none"/>
        </w:rPr>
        <w:t>招标人拒绝投标等权力</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6.13</w:t>
      </w:r>
      <w:r>
        <w:rPr>
          <w:rFonts w:hint="eastAsia"/>
          <w:color w:val="000000"/>
          <w:szCs w:val="21"/>
          <w:highlight w:val="none"/>
        </w:rPr>
        <w:t>.1招标人不承诺将合同授予报价最低的投标人。</w:t>
      </w:r>
    </w:p>
    <w:p>
      <w:pPr>
        <w:adjustRightInd w:val="0"/>
        <w:snapToGrid w:val="0"/>
        <w:spacing w:line="360" w:lineRule="auto"/>
        <w:ind w:firstLine="420" w:firstLineChars="200"/>
        <w:rPr>
          <w:szCs w:val="21"/>
          <w:highlight w:val="none"/>
        </w:rPr>
      </w:pPr>
      <w:r>
        <w:rPr>
          <w:rFonts w:hint="eastAsia"/>
          <w:color w:val="000000"/>
          <w:szCs w:val="21"/>
          <w:highlight w:val="none"/>
          <w:lang w:val="en-US" w:eastAsia="zh-CN"/>
        </w:rPr>
        <w:t>6.13</w:t>
      </w:r>
      <w:r>
        <w:rPr>
          <w:color w:val="000000"/>
          <w:szCs w:val="21"/>
          <w:highlight w:val="none"/>
        </w:rPr>
        <w:t>.</w:t>
      </w:r>
      <w:r>
        <w:rPr>
          <w:rFonts w:hint="eastAsia"/>
          <w:color w:val="000000"/>
          <w:szCs w:val="21"/>
          <w:highlight w:val="none"/>
        </w:rPr>
        <w:t>2中标人确定后，招标人无义务向未中标的投标人就其未中标的原因作出解释。未中</w:t>
      </w:r>
      <w:r>
        <w:rPr>
          <w:rFonts w:hint="eastAsia"/>
          <w:szCs w:val="21"/>
          <w:highlight w:val="none"/>
        </w:rPr>
        <w:t>标的投标人不得向评标委员会组成人员或招标人询问评标过程的情况或索要相关材料。</w:t>
      </w:r>
    </w:p>
    <w:p>
      <w:pPr>
        <w:numPr>
          <w:ilvl w:val="1"/>
          <w:numId w:val="11"/>
        </w:numPr>
        <w:tabs>
          <w:tab w:val="left" w:pos="752"/>
        </w:tabs>
        <w:adjustRightInd w:val="0"/>
        <w:snapToGrid w:val="0"/>
        <w:spacing w:line="360" w:lineRule="auto"/>
        <w:ind w:left="7" w:leftChars="0" w:firstLine="373" w:firstLineChars="0"/>
        <w:rPr>
          <w:b/>
          <w:bCs/>
          <w:szCs w:val="21"/>
          <w:highlight w:val="none"/>
        </w:rPr>
      </w:pPr>
      <w:r>
        <w:rPr>
          <w:rFonts w:hint="eastAsia"/>
          <w:b/>
          <w:bCs/>
          <w:szCs w:val="21"/>
          <w:highlight w:val="none"/>
        </w:rPr>
        <w:t>资信标表格</w:t>
      </w:r>
    </w:p>
    <w:p>
      <w:pPr>
        <w:adjustRightInd w:val="0"/>
        <w:snapToGrid w:val="0"/>
        <w:spacing w:line="360" w:lineRule="auto"/>
        <w:ind w:firstLine="420" w:firstLineChars="200"/>
        <w:rPr>
          <w:rFonts w:hint="eastAsia"/>
          <w:szCs w:val="21"/>
          <w:highlight w:val="none"/>
        </w:rPr>
      </w:pPr>
      <w:r>
        <w:rPr>
          <w:rFonts w:hint="eastAsia"/>
          <w:szCs w:val="21"/>
          <w:highlight w:val="none"/>
        </w:rPr>
        <w:t>招标人可以结合项目实际要求投标人提供资信标作为定标参考因素之一。</w:t>
      </w:r>
      <w:bookmarkStart w:id="27" w:name="_Toc10227"/>
      <w:bookmarkStart w:id="28" w:name="_Toc4937"/>
      <w:bookmarkStart w:id="29" w:name="_Toc158"/>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招标人可以结合项目实际要求投标人提供资信标作为定标参考因素之一。</w:t>
      </w:r>
    </w:p>
    <w:p>
      <w:pPr>
        <w:adjustRightInd w:val="0"/>
        <w:snapToGrid w:val="0"/>
        <w:spacing w:line="360" w:lineRule="auto"/>
        <w:jc w:val="center"/>
        <w:rPr>
          <w:rFonts w:ascii="宋体" w:hAnsi="宋体"/>
          <w:b/>
          <w:color w:val="000000" w:themeColor="text1"/>
          <w:kern w:val="0"/>
          <w:sz w:val="28"/>
          <w:szCs w:val="28"/>
          <w:highlight w:val="none"/>
          <w14:textFill>
            <w14:solidFill>
              <w14:schemeClr w14:val="tx1"/>
            </w14:solidFill>
          </w14:textFill>
        </w:rPr>
      </w:pPr>
      <w:r>
        <w:rPr>
          <w:rFonts w:hint="eastAsia" w:ascii="宋体" w:hAnsi="宋体"/>
          <w:b/>
          <w:color w:val="000000" w:themeColor="text1"/>
          <w:kern w:val="0"/>
          <w:sz w:val="28"/>
          <w:szCs w:val="28"/>
          <w:highlight w:val="none"/>
          <w14:textFill>
            <w14:solidFill>
              <w14:schemeClr w14:val="tx1"/>
            </w14:solidFill>
          </w14:textFill>
        </w:rPr>
        <w:t>资信标要求一览表（如有）</w:t>
      </w:r>
    </w:p>
    <w:tbl>
      <w:tblPr>
        <w:tblStyle w:val="8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98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序号</w:t>
            </w:r>
          </w:p>
        </w:tc>
        <w:tc>
          <w:tcPr>
            <w:tcW w:w="2989"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资信要素名称</w:t>
            </w:r>
          </w:p>
        </w:tc>
        <w:tc>
          <w:tcPr>
            <w:tcW w:w="4113"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ascii="宋体" w:hAnsi="宋体"/>
                <w:color w:val="000000" w:themeColor="text1"/>
                <w:kern w:val="0"/>
                <w:sz w:val="20"/>
                <w:szCs w:val="21"/>
                <w:highlight w:val="none"/>
                <w14:textFill>
                  <w14:solidFill>
                    <w14:schemeClr w14:val="tx1"/>
                  </w14:solidFill>
                </w14:textFill>
              </w:rPr>
            </w:pPr>
            <w:bookmarkStart w:id="30" w:name="资信标要求一览表" w:colFirst="0" w:colLast="0"/>
          </w:p>
        </w:tc>
        <w:tc>
          <w:tcPr>
            <w:tcW w:w="2989" w:type="dxa"/>
            <w:vAlign w:val="center"/>
          </w:tcPr>
          <w:p>
            <w:pPr>
              <w:adjustRightInd w:val="0"/>
              <w:snapToGrid w:val="0"/>
              <w:spacing w:line="360" w:lineRule="auto"/>
              <w:rPr>
                <w:rFonts w:ascii="宋体" w:hAnsi="宋体"/>
                <w:color w:val="000000" w:themeColor="text1"/>
                <w:kern w:val="0"/>
                <w:sz w:val="20"/>
                <w:szCs w:val="21"/>
                <w:highlight w:val="none"/>
                <w14:textFill>
                  <w14:solidFill>
                    <w14:schemeClr w14:val="tx1"/>
                  </w14:solidFill>
                </w14:textFill>
              </w:rPr>
            </w:pPr>
          </w:p>
        </w:tc>
        <w:tc>
          <w:tcPr>
            <w:tcW w:w="4113" w:type="dxa"/>
            <w:vAlign w:val="center"/>
          </w:tcPr>
          <w:p>
            <w:pPr>
              <w:adjustRightInd w:val="0"/>
              <w:snapToGrid w:val="0"/>
              <w:spacing w:line="360" w:lineRule="auto"/>
              <w:rPr>
                <w:rFonts w:ascii="宋体" w:hAnsi="宋体"/>
                <w:color w:val="000000" w:themeColor="text1"/>
                <w:kern w:val="0"/>
                <w:sz w:val="20"/>
                <w:szCs w:val="21"/>
                <w:highlight w:val="none"/>
                <w14:textFill>
                  <w14:solidFill>
                    <w14:schemeClr w14:val="tx1"/>
                  </w14:solidFill>
                </w14:textFill>
              </w:rPr>
            </w:pPr>
          </w:p>
        </w:tc>
      </w:tr>
      <w:bookmarkEnd w:id="30"/>
    </w:tbl>
    <w:p>
      <w:pPr>
        <w:adjustRightInd w:val="0"/>
        <w:snapToGrid w:val="0"/>
        <w:spacing w:line="360" w:lineRule="auto"/>
        <w:rPr>
          <w:rFonts w:ascii="宋体" w:hAnsi="宋体"/>
          <w:color w:val="000000" w:themeColor="text1"/>
          <w:kern w:val="0"/>
          <w:szCs w:val="21"/>
          <w:highlight w:val="none"/>
          <w14:textFill>
            <w14:solidFill>
              <w14:schemeClr w14:val="tx1"/>
            </w14:solidFill>
          </w14:textFill>
        </w:rPr>
      </w:pP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备注：资信要素不进行评审，真实性通过公示予以监督。</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（七）中标通知书</w:t>
      </w:r>
      <w:bookmarkEnd w:id="27"/>
      <w:bookmarkEnd w:id="28"/>
    </w:p>
    <w:p>
      <w:pPr>
        <w:numPr>
          <w:ilvl w:val="0"/>
          <w:numId w:val="0"/>
        </w:numPr>
        <w:tabs>
          <w:tab w:val="left" w:pos="760"/>
        </w:tabs>
        <w:adjustRightInd w:val="0"/>
        <w:snapToGrid w:val="0"/>
        <w:spacing w:line="360" w:lineRule="auto"/>
        <w:ind w:left="380" w:leftChars="0"/>
        <w:rPr>
          <w:b/>
          <w:bCs/>
          <w:szCs w:val="21"/>
          <w:highlight w:val="none"/>
        </w:rPr>
      </w:pPr>
      <w:bookmarkStart w:id="31" w:name="_Toc22074"/>
      <w:bookmarkStart w:id="32" w:name="_Toc5986"/>
      <w:r>
        <w:rPr>
          <w:rFonts w:hint="eastAsia"/>
          <w:b/>
          <w:bCs/>
          <w:szCs w:val="21"/>
          <w:highlight w:val="none"/>
        </w:rPr>
        <w:t>中标通知书</w:t>
      </w:r>
    </w:p>
    <w:p>
      <w:pPr>
        <w:numPr>
          <w:ilvl w:val="1"/>
          <w:numId w:val="12"/>
        </w:numPr>
        <w:tabs>
          <w:tab w:val="left" w:pos="760"/>
        </w:tabs>
        <w:adjustRightInd w:val="0"/>
        <w:snapToGrid w:val="0"/>
        <w:spacing w:line="360" w:lineRule="auto"/>
        <w:ind w:left="7" w:leftChars="0" w:firstLine="373" w:firstLineChars="0"/>
        <w:rPr>
          <w:szCs w:val="21"/>
          <w:highlight w:val="none"/>
        </w:rPr>
      </w:pPr>
      <w:r>
        <w:rPr>
          <w:szCs w:val="21"/>
          <w:highlight w:val="none"/>
        </w:rPr>
        <w:t>在规定的公示期内未收到对中标结果的异议的，招标人将按法律法规规定的时间内向中标人发出中标通知书。如接到有关投诉的，招标人将可能暂停发出中标通知书。</w:t>
      </w:r>
    </w:p>
    <w:p>
      <w:pPr>
        <w:numPr>
          <w:ilvl w:val="1"/>
          <w:numId w:val="12"/>
        </w:numPr>
        <w:tabs>
          <w:tab w:val="left" w:pos="760"/>
        </w:tabs>
        <w:adjustRightInd w:val="0"/>
        <w:snapToGrid w:val="0"/>
        <w:spacing w:line="360" w:lineRule="auto"/>
        <w:ind w:left="7" w:leftChars="0" w:firstLine="373" w:firstLineChars="0"/>
        <w:rPr>
          <w:szCs w:val="21"/>
          <w:highlight w:val="none"/>
        </w:rPr>
      </w:pPr>
      <w:r>
        <w:rPr>
          <w:rFonts w:hint="eastAsia"/>
          <w:szCs w:val="21"/>
          <w:highlight w:val="none"/>
        </w:rPr>
        <w:t>中标通知书是合同文件的组成部分。</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（八）合同授予</w:t>
      </w:r>
      <w:bookmarkEnd w:id="31"/>
      <w:bookmarkEnd w:id="32"/>
    </w:p>
    <w:bookmarkEnd w:id="29"/>
    <w:p>
      <w:pPr>
        <w:numPr>
          <w:ilvl w:val="1"/>
          <w:numId w:val="13"/>
        </w:numPr>
        <w:adjustRightInd w:val="0"/>
        <w:snapToGrid w:val="0"/>
        <w:spacing w:line="360" w:lineRule="auto"/>
        <w:ind w:left="7" w:leftChars="0" w:firstLine="373" w:firstLineChars="0"/>
        <w:rPr>
          <w:b/>
          <w:bCs/>
          <w:color w:val="000000"/>
          <w:szCs w:val="21"/>
          <w:highlight w:val="none"/>
        </w:rPr>
      </w:pPr>
      <w:bookmarkStart w:id="33" w:name="_Toc17283"/>
      <w:bookmarkStart w:id="34" w:name="_Toc21003"/>
      <w:bookmarkStart w:id="35" w:name="_Toc22693"/>
      <w:r>
        <w:rPr>
          <w:rFonts w:hint="eastAsia"/>
          <w:b/>
          <w:bCs/>
          <w:color w:val="000000"/>
          <w:szCs w:val="21"/>
          <w:highlight w:val="none"/>
        </w:rPr>
        <w:t>合同授予标准</w:t>
      </w:r>
    </w:p>
    <w:p>
      <w:pPr>
        <w:adjustRightInd w:val="0"/>
        <w:snapToGrid w:val="0"/>
        <w:spacing w:line="360" w:lineRule="auto"/>
        <w:ind w:firstLine="420" w:firstLineChars="200"/>
        <w:rPr>
          <w:color w:val="000000"/>
          <w:szCs w:val="21"/>
          <w:highlight w:val="none"/>
        </w:rPr>
      </w:pPr>
      <w:r>
        <w:rPr>
          <w:rFonts w:hint="eastAsia"/>
          <w:color w:val="000000"/>
          <w:szCs w:val="21"/>
          <w:highlight w:val="none"/>
        </w:rPr>
        <w:t>本工程的</w:t>
      </w:r>
      <w:r>
        <w:rPr>
          <w:rFonts w:hint="eastAsia"/>
          <w:color w:val="000000"/>
          <w:szCs w:val="21"/>
          <w:highlight w:val="none"/>
          <w:lang w:eastAsia="zh-CN"/>
        </w:rPr>
        <w:t>监理</w:t>
      </w:r>
      <w:r>
        <w:rPr>
          <w:rFonts w:hint="eastAsia"/>
          <w:color w:val="000000"/>
          <w:szCs w:val="21"/>
          <w:highlight w:val="none"/>
        </w:rPr>
        <w:t>合同将授予按招标文件规定所确定的中标人。</w:t>
      </w:r>
    </w:p>
    <w:p>
      <w:pPr>
        <w:numPr>
          <w:ilvl w:val="1"/>
          <w:numId w:val="13"/>
        </w:numPr>
        <w:adjustRightInd w:val="0"/>
        <w:snapToGrid w:val="0"/>
        <w:spacing w:line="360" w:lineRule="auto"/>
        <w:ind w:left="7" w:leftChars="0" w:firstLine="373" w:firstLineChars="0"/>
        <w:rPr>
          <w:b/>
          <w:bCs/>
          <w:color w:val="000000"/>
          <w:szCs w:val="21"/>
          <w:highlight w:val="none"/>
        </w:rPr>
      </w:pPr>
      <w:r>
        <w:rPr>
          <w:rFonts w:hint="eastAsia"/>
          <w:b/>
          <w:bCs/>
          <w:color w:val="000000"/>
          <w:szCs w:val="21"/>
          <w:highlight w:val="none"/>
        </w:rPr>
        <w:t>合同协议书的签订</w:t>
      </w:r>
    </w:p>
    <w:p>
      <w:pPr>
        <w:numPr>
          <w:ilvl w:val="0"/>
          <w:numId w:val="0"/>
        </w:num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8.2.1</w:t>
      </w:r>
      <w:r>
        <w:rPr>
          <w:rFonts w:hint="eastAsia"/>
          <w:color w:val="000000"/>
          <w:szCs w:val="21"/>
          <w:highlight w:val="none"/>
        </w:rPr>
        <w:t>招标人与中标人将于规定时限内，根据招标文件和中标人的投标文件签订建设工程</w:t>
      </w:r>
      <w:r>
        <w:rPr>
          <w:rFonts w:hint="eastAsia"/>
          <w:color w:val="000000"/>
          <w:szCs w:val="21"/>
          <w:highlight w:val="none"/>
          <w:lang w:eastAsia="zh-CN"/>
        </w:rPr>
        <w:t>监理</w:t>
      </w:r>
      <w:r>
        <w:rPr>
          <w:rFonts w:hint="eastAsia"/>
          <w:color w:val="000000"/>
          <w:szCs w:val="21"/>
          <w:highlight w:val="none"/>
        </w:rPr>
        <w:t>合同，合同价为中标人的投标报价（因计算错误，评标委员会修正中标价的除外）。</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.2招标人与中标人签订的</w:t>
      </w:r>
      <w:r>
        <w:rPr>
          <w:rFonts w:hint="eastAsia"/>
          <w:color w:val="000000"/>
          <w:szCs w:val="21"/>
          <w:highlight w:val="none"/>
          <w:lang w:eastAsia="zh-CN"/>
        </w:rPr>
        <w:t>设计</w:t>
      </w:r>
      <w:r>
        <w:rPr>
          <w:rFonts w:hint="eastAsia"/>
          <w:color w:val="000000"/>
          <w:szCs w:val="21"/>
          <w:highlight w:val="none"/>
        </w:rPr>
        <w:t>合同必须遵守本招标文件的合同条件，并且不得更改合同条件。</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.3中标人不按招标文件规定与招标人签订合同，招标人有权废除中标，并没收其投标保证金或投标保函。</w:t>
      </w:r>
    </w:p>
    <w:p>
      <w:pPr>
        <w:adjustRightInd w:val="0"/>
        <w:snapToGrid w:val="0"/>
        <w:spacing w:line="360" w:lineRule="auto"/>
        <w:ind w:firstLine="420" w:firstLineChars="200"/>
        <w:rPr>
          <w:rFonts w:hint="eastAsia"/>
          <w:szCs w:val="21"/>
          <w:highlight w:val="none"/>
        </w:rPr>
      </w:pPr>
      <w:r>
        <w:rPr>
          <w:rFonts w:hint="eastAsia"/>
          <w:color w:val="000000"/>
          <w:szCs w:val="21"/>
          <w:highlight w:val="none"/>
          <w:lang w:val="en-US" w:eastAsia="zh-CN"/>
        </w:rPr>
        <w:t>8.2</w:t>
      </w:r>
      <w:r>
        <w:rPr>
          <w:rFonts w:hint="eastAsia"/>
          <w:color w:val="000000"/>
          <w:szCs w:val="21"/>
          <w:highlight w:val="none"/>
        </w:rPr>
        <w:t>.4中标人应当按照合同约定履行义务，完成中标工程</w:t>
      </w:r>
      <w:r>
        <w:rPr>
          <w:rFonts w:hint="eastAsia"/>
          <w:color w:val="000000"/>
          <w:szCs w:val="21"/>
          <w:highlight w:val="none"/>
          <w:lang w:eastAsia="zh-CN"/>
        </w:rPr>
        <w:t>监理工作</w:t>
      </w:r>
      <w:r>
        <w:rPr>
          <w:rFonts w:hint="eastAsia"/>
          <w:color w:val="000000"/>
          <w:szCs w:val="21"/>
          <w:highlight w:val="none"/>
        </w:rPr>
        <w:t>，不得将中标工程转让（转</w:t>
      </w:r>
      <w:r>
        <w:rPr>
          <w:rFonts w:hint="eastAsia"/>
          <w:szCs w:val="21"/>
          <w:highlight w:val="none"/>
        </w:rPr>
        <w:t>包）给他人。</w:t>
      </w:r>
    </w:p>
    <w:p>
      <w:pPr>
        <w:adjustRightInd w:val="0"/>
        <w:snapToGrid w:val="0"/>
        <w:spacing w:line="360" w:lineRule="auto"/>
        <w:ind w:firstLine="420" w:firstLineChars="200"/>
        <w:rPr>
          <w:rFonts w:hint="eastAsia"/>
          <w:color w:val="000000"/>
          <w:szCs w:val="21"/>
          <w:highlight w:val="none"/>
        </w:rPr>
      </w:pPr>
      <w:r>
        <w:rPr>
          <w:rFonts w:hint="eastAsia"/>
          <w:color w:val="000000"/>
          <w:szCs w:val="21"/>
          <w:highlight w:val="none"/>
          <w:lang w:val="en-US" w:eastAsia="zh-CN"/>
        </w:rPr>
        <w:t>8.2.5</w:t>
      </w:r>
      <w:r>
        <w:rPr>
          <w:rFonts w:hint="eastAsia"/>
          <w:color w:val="000000"/>
          <w:szCs w:val="21"/>
          <w:highlight w:val="none"/>
        </w:rPr>
        <w:t>中标后未经招标人同意不得更换项目</w:t>
      </w:r>
      <w:r>
        <w:rPr>
          <w:rFonts w:hint="eastAsia"/>
          <w:color w:val="000000"/>
          <w:szCs w:val="21"/>
          <w:highlight w:val="none"/>
          <w:lang w:eastAsia="zh-CN"/>
        </w:rPr>
        <w:t>负责人</w:t>
      </w:r>
      <w:r>
        <w:rPr>
          <w:rFonts w:hint="eastAsia"/>
          <w:color w:val="000000"/>
          <w:szCs w:val="21"/>
          <w:highlight w:val="none"/>
        </w:rPr>
        <w:t>,否则中标人承担一切违约责任。</w:t>
      </w:r>
    </w:p>
    <w:p>
      <w:pPr>
        <w:rPr>
          <w:color w:val="000000" w:themeColor="text1"/>
          <w:highlight w:val="none"/>
          <w14:textFill>
            <w14:solidFill>
              <w14:schemeClr w14:val="tx1"/>
            </w14:solidFill>
          </w14:textFill>
        </w:rPr>
      </w:pPr>
      <w:r>
        <w:rPr>
          <w:rFonts w:hint="eastAsia"/>
          <w:highlight w:val="none"/>
        </w:rPr>
        <w:br w:type="page"/>
      </w:r>
      <w:bookmarkEnd w:id="33"/>
      <w:bookmarkEnd w:id="34"/>
      <w:bookmarkEnd w:id="35"/>
    </w:p>
    <w:p>
      <w:pPr>
        <w:adjustRightInd w:val="0"/>
        <w:snapToGrid w:val="0"/>
        <w:spacing w:line="360" w:lineRule="auto"/>
        <w:jc w:val="center"/>
        <w:outlineLvl w:val="0"/>
        <w:rPr>
          <w:rFonts w:ascii="黑体" w:eastAsia="黑体"/>
          <w:b/>
          <w:kern w:val="0"/>
          <w:sz w:val="36"/>
          <w:highlight w:val="none"/>
        </w:rPr>
      </w:pPr>
      <w:bookmarkStart w:id="36" w:name="_Toc13536"/>
      <w:bookmarkStart w:id="37" w:name="_Toc27341"/>
      <w:r>
        <w:rPr>
          <w:rFonts w:hint="eastAsia" w:ascii="黑体" w:eastAsia="黑体"/>
          <w:b/>
          <w:kern w:val="0"/>
          <w:sz w:val="36"/>
          <w:highlight w:val="none"/>
        </w:rPr>
        <w:t xml:space="preserve">第三章 </w:t>
      </w:r>
      <w:r>
        <w:rPr>
          <w:rFonts w:ascii="黑体" w:eastAsia="黑体"/>
          <w:b/>
          <w:kern w:val="0"/>
          <w:sz w:val="36"/>
          <w:highlight w:val="none"/>
        </w:rPr>
        <w:t xml:space="preserve"> </w:t>
      </w:r>
      <w:r>
        <w:rPr>
          <w:rFonts w:hint="eastAsia" w:ascii="黑体" w:eastAsia="黑体"/>
          <w:b/>
          <w:kern w:val="0"/>
          <w:sz w:val="36"/>
          <w:highlight w:val="none"/>
        </w:rPr>
        <w:t>招标人对招标文件的补充/修改</w:t>
      </w:r>
      <w:bookmarkEnd w:id="36"/>
      <w:bookmarkEnd w:id="37"/>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招标人可根据工程实际情况，对本示范文本进行补充或修改，但有关补充或修改内容不得违法违规，且必须逐一列举在以下栏目中。请投标人认真阅读并遵照执行：</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szCs w:val="21"/>
          <w:u w:val="none"/>
          <w:lang w:eastAsia="zh-CN"/>
        </w:rPr>
        <w:t>（招标范本中留有空白由招标人填写部分无需再在本章体现）</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FF"/>
          <w:kern w:val="0"/>
          <w:szCs w:val="21"/>
          <w:highlight w:val="none"/>
        </w:rPr>
        <w:t>补充修改</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以下空白。</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   标   人：</w:t>
      </w:r>
      <w:r>
        <w:rPr>
          <w:rFonts w:hint="eastAsia" w:ascii="宋体" w:hAnsi="宋体"/>
          <w:color w:val="0000FF"/>
          <w:kern w:val="0"/>
          <w:szCs w:val="21"/>
          <w:highlight w:val="none"/>
          <w:u w:val="single"/>
        </w:rPr>
        <w:t xml:space="preserve">      </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招标代理机构：</w:t>
      </w:r>
      <w:r>
        <w:rPr>
          <w:rFonts w:hint="eastAsia" w:ascii="宋体" w:hAnsi="宋体"/>
          <w:color w:val="0000FF"/>
          <w:kern w:val="0"/>
          <w:szCs w:val="21"/>
          <w:highlight w:val="none"/>
          <w:u w:val="single"/>
        </w:rPr>
        <w:t xml:space="preserve">      </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编制日期：</w:t>
      </w:r>
      <w:r>
        <w:rPr>
          <w:rFonts w:hint="eastAsia" w:ascii="宋体" w:hAnsi="宋体"/>
          <w:color w:val="0000FF"/>
          <w:kern w:val="0"/>
          <w:szCs w:val="21"/>
          <w:highlight w:val="none"/>
          <w:u w:val="single"/>
        </w:rPr>
        <w:t xml:space="preserve">      </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38" w:name="_Toc13923"/>
      <w:bookmarkEnd w:id="38"/>
    </w:p>
    <w:p>
      <w:pPr>
        <w:adjustRightInd w:val="0"/>
        <w:snapToGrid w:val="0"/>
        <w:spacing w:line="360" w:lineRule="auto"/>
        <w:jc w:val="center"/>
        <w:outlineLvl w:val="0"/>
        <w:rPr>
          <w:rFonts w:hint="eastAsia" w:ascii="黑体" w:eastAsia="黑体"/>
          <w:b/>
          <w:kern w:val="0"/>
          <w:sz w:val="36"/>
          <w:highlight w:val="none"/>
          <w:lang w:eastAsia="zh-CN"/>
        </w:rPr>
      </w:pPr>
      <w:bookmarkStart w:id="39" w:name="_Toc14964"/>
      <w:bookmarkStart w:id="40" w:name="_Toc23215"/>
      <w:bookmarkStart w:id="41" w:name="_Toc17213"/>
      <w:bookmarkStart w:id="42" w:name="_Toc17710"/>
      <w:bookmarkStart w:id="43" w:name="_Toc10869"/>
      <w:bookmarkStart w:id="44" w:name="_Toc24356"/>
      <w:bookmarkStart w:id="45" w:name="_Toc29452"/>
      <w:bookmarkStart w:id="46" w:name="_Toc1912"/>
      <w:bookmarkStart w:id="47" w:name="_Toc17474"/>
      <w:bookmarkStart w:id="48" w:name="_Toc19548"/>
      <w:bookmarkStart w:id="49" w:name="_Toc27698"/>
      <w:bookmarkStart w:id="50" w:name="_Toc10510"/>
      <w:bookmarkStart w:id="51" w:name="_Toc4420"/>
      <w:bookmarkStart w:id="52" w:name="_Toc31302"/>
      <w:bookmarkStart w:id="53" w:name="_Toc17086"/>
      <w:r>
        <w:rPr>
          <w:rFonts w:hint="eastAsia" w:ascii="黑体" w:eastAsia="黑体"/>
          <w:b/>
          <w:kern w:val="0"/>
          <w:sz w:val="36"/>
          <w:highlight w:val="none"/>
        </w:rPr>
        <w:t xml:space="preserve">第四章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hint="eastAsia" w:ascii="黑体" w:eastAsia="黑体"/>
          <w:b/>
          <w:kern w:val="0"/>
          <w:sz w:val="36"/>
          <w:highlight w:val="none"/>
          <w:lang w:eastAsia="zh-CN"/>
        </w:rPr>
        <w:t>委托人要求</w:t>
      </w:r>
    </w:p>
    <w:p>
      <w:pPr>
        <w:adjustRightInd w:val="0"/>
        <w:snapToGrid w:val="0"/>
        <w:spacing w:line="360" w:lineRule="auto"/>
        <w:jc w:val="left"/>
        <w:rPr>
          <w:rFonts w:ascii="宋体" w:hAnsi="宋体"/>
          <w:snapToGrid w:val="0"/>
          <w:kern w:val="0"/>
          <w:szCs w:val="21"/>
          <w:highlight w:val="none"/>
        </w:rPr>
      </w:pPr>
      <w:r>
        <w:rPr>
          <w:rFonts w:ascii="宋体" w:hAnsi="宋体"/>
          <w:snapToGrid w:val="0"/>
          <w:kern w:val="0"/>
          <w:szCs w:val="21"/>
          <w:highlight w:val="none"/>
        </w:rPr>
        <w:br w:type="page"/>
      </w:r>
    </w:p>
    <w:p>
      <w:pPr>
        <w:adjustRightInd w:val="0"/>
        <w:snapToGrid w:val="0"/>
        <w:spacing w:line="360" w:lineRule="auto"/>
        <w:jc w:val="center"/>
        <w:outlineLvl w:val="0"/>
        <w:rPr>
          <w:rFonts w:hint="eastAsia" w:ascii="黑体" w:eastAsia="黑体"/>
          <w:b/>
          <w:kern w:val="0"/>
          <w:sz w:val="36"/>
          <w:highlight w:val="none"/>
        </w:rPr>
      </w:pPr>
      <w:bookmarkStart w:id="54" w:name="_Toc23337"/>
      <w:r>
        <w:rPr>
          <w:rFonts w:hint="eastAsia" w:ascii="黑体" w:eastAsia="黑体"/>
          <w:b/>
          <w:kern w:val="0"/>
          <w:sz w:val="36"/>
          <w:highlight w:val="none"/>
        </w:rPr>
        <w:t>第五章  投标文件格式</w:t>
      </w:r>
      <w:bookmarkEnd w:id="54"/>
    </w:p>
    <w:p>
      <w:pPr>
        <w:rPr>
          <w:rFonts w:hint="eastAsia" w:ascii="黑体" w:eastAsia="黑体"/>
          <w:b/>
          <w:kern w:val="0"/>
          <w:sz w:val="36"/>
          <w:highlight w:val="none"/>
        </w:rPr>
      </w:pPr>
      <w:r>
        <w:rPr>
          <w:rFonts w:hint="eastAsia" w:ascii="黑体" w:eastAsia="黑体"/>
          <w:b/>
          <w:kern w:val="0"/>
          <w:sz w:val="36"/>
          <w:highlight w:val="none"/>
        </w:rPr>
        <w:br w:type="page"/>
      </w:r>
    </w:p>
    <w:p>
      <w:pPr>
        <w:adjustRightInd w:val="0"/>
        <w:snapToGrid w:val="0"/>
        <w:spacing w:line="360" w:lineRule="auto"/>
        <w:jc w:val="center"/>
        <w:rPr>
          <w:rFonts w:ascii="黑体" w:eastAsia="黑体"/>
          <w:bCs/>
          <w:kern w:val="0"/>
          <w:sz w:val="52"/>
          <w:szCs w:val="52"/>
          <w:highlight w:val="none"/>
        </w:rPr>
      </w:pPr>
      <w:bookmarkStart w:id="55" w:name="_Toc6129"/>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w:t>
      </w:r>
      <w:r>
        <w:rPr>
          <w:rFonts w:hint="eastAsia" w:ascii="黑体" w:eastAsia="黑体"/>
          <w:bCs/>
          <w:kern w:val="0"/>
          <w:sz w:val="52"/>
          <w:szCs w:val="52"/>
          <w:highlight w:val="none"/>
          <w:lang w:eastAsia="zh-CN"/>
        </w:rPr>
        <w:t>监理</w:t>
      </w:r>
      <w:r>
        <w:rPr>
          <w:rFonts w:hint="eastAsia" w:ascii="黑体" w:eastAsia="黑体"/>
          <w:bCs/>
          <w:kern w:val="0"/>
          <w:sz w:val="52"/>
          <w:szCs w:val="52"/>
          <w:highlight w:val="none"/>
        </w:rPr>
        <w:t>类招标</w:t>
      </w:r>
      <w:bookmarkEnd w:id="55"/>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56" w:name="_Toc29698"/>
      <w:r>
        <w:rPr>
          <w:rFonts w:hint="eastAsia" w:ascii="黑体" w:eastAsia="黑体"/>
          <w:bCs/>
          <w:kern w:val="0"/>
          <w:sz w:val="52"/>
          <w:szCs w:val="52"/>
          <w:highlight w:val="none"/>
        </w:rPr>
        <w:t>投 标 文 件</w:t>
      </w:r>
      <w:bookmarkEnd w:id="56"/>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投标文件内容：</w:t>
      </w:r>
      <w:r>
        <w:rPr>
          <w:rFonts w:ascii="宋体"/>
          <w:kern w:val="0"/>
          <w:sz w:val="30"/>
          <w:szCs w:val="30"/>
          <w:highlight w:val="none"/>
        </w:rPr>
        <w:t>_______</w:t>
      </w:r>
      <w:r>
        <w:rPr>
          <w:rFonts w:hint="eastAsia" w:ascii="宋体"/>
          <w:kern w:val="0"/>
          <w:sz w:val="30"/>
          <w:szCs w:val="30"/>
          <w:highlight w:val="none"/>
          <w:u w:val="single"/>
          <w:lang w:eastAsia="zh-CN"/>
        </w:rPr>
        <w:t>资格审查文件</w:t>
      </w:r>
      <w:r>
        <w:rPr>
          <w:rFonts w:ascii="宋体"/>
          <w:kern w:val="0"/>
          <w:sz w:val="30"/>
          <w:szCs w:val="30"/>
          <w:highlight w:val="none"/>
        </w:rPr>
        <w:t>________</w:t>
      </w:r>
      <w:r>
        <w:rPr>
          <w:rFonts w:hint="eastAsia" w:ascii="宋体"/>
          <w:kern w:val="0"/>
          <w:sz w:val="30"/>
          <w:szCs w:val="30"/>
          <w:highlight w:val="none"/>
        </w:rPr>
        <w:t>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rFonts w:hint="eastAsia" w:ascii="宋体" w:hAnsi="宋体"/>
          <w:kern w:val="0"/>
          <w:highlight w:val="none"/>
        </w:rPr>
      </w:pPr>
      <w:r>
        <w:rPr>
          <w:rFonts w:hint="eastAsia" w:ascii="宋体" w:hAnsi="宋体"/>
          <w:kern w:val="0"/>
          <w:highlight w:val="none"/>
        </w:rPr>
        <w:t>对所提供资料的真实性、准确性、有效性负全部责任。</w:t>
      </w:r>
    </w:p>
    <w:p>
      <w:pPr>
        <w:rPr>
          <w:rFonts w:hint="eastAsia" w:ascii="宋体" w:hAnsi="宋体"/>
          <w:kern w:val="0"/>
          <w:highlight w:val="none"/>
        </w:rPr>
      </w:pPr>
      <w:r>
        <w:rPr>
          <w:rFonts w:hint="eastAsia" w:ascii="宋体" w:hAnsi="宋体"/>
          <w:kern w:val="0"/>
          <w:highlight w:val="none"/>
        </w:rPr>
        <w:br w:type="page"/>
      </w:r>
    </w:p>
    <w:p>
      <w:pPr>
        <w:adjustRightInd w:val="0"/>
        <w:snapToGrid w:val="0"/>
        <w:spacing w:line="360" w:lineRule="auto"/>
        <w:jc w:val="center"/>
        <w:rPr>
          <w:rFonts w:ascii="华文细黑" w:hAnsi="宋体"/>
          <w:kern w:val="0"/>
          <w:sz w:val="44"/>
          <w:highlight w:val="none"/>
        </w:rPr>
      </w:pPr>
      <w:r>
        <w:rPr>
          <w:rFonts w:hint="eastAsia" w:hAnsi="宋体"/>
          <w:kern w:val="0"/>
          <w:sz w:val="44"/>
          <w:szCs w:val="44"/>
          <w:highlight w:val="none"/>
        </w:rPr>
        <w:t>资格审查文件</w:t>
      </w:r>
      <w:r>
        <w:rPr>
          <w:rFonts w:hint="eastAsia" w:ascii="华文细黑" w:hAnsi="宋体"/>
          <w:kern w:val="0"/>
          <w:sz w:val="44"/>
          <w:highlight w:val="none"/>
        </w:rPr>
        <w:t>目录</w:t>
      </w:r>
    </w:p>
    <w:p>
      <w:pPr>
        <w:adjustRightInd w:val="0"/>
        <w:snapToGrid w:val="0"/>
        <w:spacing w:line="360" w:lineRule="auto"/>
        <w:ind w:firstLine="480" w:firstLineChars="200"/>
        <w:rPr>
          <w:rFonts w:hAnsi="宋体"/>
          <w:kern w:val="0"/>
          <w:sz w:val="24"/>
          <w:highlight w:val="none"/>
        </w:rPr>
      </w:pP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snapToGrid w:val="0"/>
          <w:kern w:val="0"/>
          <w:highlight w:val="none"/>
        </w:rPr>
        <w:t>1、投标人《</w:t>
      </w:r>
      <w:r>
        <w:rPr>
          <w:rFonts w:hint="eastAsia" w:ascii="宋体" w:hAnsi="宋体"/>
          <w:snapToGrid w:val="0"/>
          <w:kern w:val="0"/>
          <w:highlight w:val="none"/>
          <w:lang w:eastAsia="zh-CN"/>
        </w:rPr>
        <w:t>统一社会信用代码证</w:t>
      </w:r>
      <w:r>
        <w:rPr>
          <w:rFonts w:hint="eastAsia" w:ascii="宋体" w:hAnsi="宋体"/>
          <w:snapToGrid w:val="0"/>
          <w:kern w:val="0"/>
          <w:highlight w:val="none"/>
        </w:rPr>
        <w:t>》（扫描件）；</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snapToGrid w:val="0"/>
          <w:kern w:val="0"/>
          <w:highlight w:val="none"/>
        </w:rPr>
        <w:t>2、投标人《工程监理资质证书》（扫描件）；</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snapToGrid w:val="0"/>
          <w:kern w:val="0"/>
          <w:highlight w:val="none"/>
        </w:rPr>
        <w:t>3、投标人拟派出项目总监执业资格注册</w:t>
      </w:r>
      <w:r>
        <w:rPr>
          <w:rFonts w:ascii="宋体" w:hAnsi="宋体"/>
          <w:snapToGrid w:val="0"/>
          <w:kern w:val="0"/>
          <w:highlight w:val="none"/>
        </w:rPr>
        <w:t>证书</w:t>
      </w:r>
      <w:r>
        <w:rPr>
          <w:rFonts w:hint="eastAsia" w:ascii="宋体" w:hAnsi="宋体"/>
          <w:snapToGrid w:val="0"/>
          <w:kern w:val="0"/>
          <w:highlight w:val="none"/>
        </w:rPr>
        <w:t>（扫描件）；</w:t>
      </w:r>
    </w:p>
    <w:p>
      <w:pPr>
        <w:adjustRightInd w:val="0"/>
        <w:snapToGrid w:val="0"/>
        <w:spacing w:line="360" w:lineRule="auto"/>
        <w:ind w:firstLine="420" w:firstLineChars="200"/>
        <w:jc w:val="left"/>
        <w:rPr>
          <w:rFonts w:ascii="宋体" w:hAnsi="宋体"/>
          <w:snapToGrid w:val="0"/>
          <w:kern w:val="0"/>
          <w:highlight w:val="none"/>
        </w:rPr>
      </w:pPr>
      <w:r>
        <w:rPr>
          <w:rFonts w:hint="eastAsia" w:ascii="宋体" w:hAnsi="宋体"/>
          <w:snapToGrid w:val="0"/>
          <w:kern w:val="0"/>
          <w:highlight w:val="none"/>
        </w:rPr>
        <w:t>4、投标担保证明文件扫描件（如银行保函、保证金</w:t>
      </w:r>
      <w:r>
        <w:rPr>
          <w:rFonts w:hint="eastAsia" w:ascii="宋体" w:hAnsi="宋体"/>
          <w:snapToGrid w:val="0"/>
          <w:kern w:val="0"/>
          <w:highlight w:val="none"/>
          <w:lang w:eastAsia="zh-CN"/>
        </w:rPr>
        <w:t>、投标保证保险合同或保险单</w:t>
      </w:r>
      <w:r>
        <w:rPr>
          <w:rFonts w:hint="eastAsia" w:ascii="宋体" w:hAnsi="宋体"/>
          <w:snapToGrid w:val="0"/>
          <w:kern w:val="0"/>
          <w:highlight w:val="none"/>
        </w:rPr>
        <w:t>等）；</w:t>
      </w:r>
    </w:p>
    <w:p>
      <w:pPr>
        <w:adjustRightInd w:val="0"/>
        <w:snapToGrid w:val="0"/>
        <w:spacing w:line="360" w:lineRule="auto"/>
        <w:ind w:firstLine="420" w:firstLineChars="200"/>
        <w:jc w:val="left"/>
        <w:rPr>
          <w:rFonts w:ascii="宋体" w:hAnsi="宋体"/>
          <w:snapToGrid w:val="0"/>
          <w:kern w:val="0"/>
          <w:highlight w:val="none"/>
        </w:rPr>
      </w:pPr>
      <w:r>
        <w:rPr>
          <w:rFonts w:ascii="宋体" w:hAnsi="宋体"/>
          <w:snapToGrid w:val="0"/>
          <w:kern w:val="0"/>
          <w:highlight w:val="none"/>
        </w:rPr>
        <w:t>5</w:t>
      </w:r>
      <w:r>
        <w:rPr>
          <w:rFonts w:hint="eastAsia" w:ascii="宋体" w:hAnsi="宋体"/>
          <w:snapToGrid w:val="0"/>
          <w:kern w:val="0"/>
          <w:highlight w:val="none"/>
        </w:rPr>
        <w:t>、招标</w:t>
      </w:r>
      <w:r>
        <w:rPr>
          <w:rFonts w:hint="eastAsia" w:ascii="宋体" w:hAnsi="宋体"/>
          <w:kern w:val="0"/>
          <w:szCs w:val="21"/>
          <w:highlight w:val="none"/>
        </w:rPr>
        <w:t>人要求提供的与投标人条件审查有关的其他资格证明材料：（必须详细、明确、足以证明资格条件）。</w:t>
      </w:r>
    </w:p>
    <w:p>
      <w:pPr>
        <w:adjustRightInd w:val="0"/>
        <w:snapToGrid w:val="0"/>
        <w:spacing w:line="360" w:lineRule="auto"/>
        <w:ind w:firstLine="420" w:firstLineChars="200"/>
        <w:jc w:val="left"/>
        <w:rPr>
          <w:rFonts w:ascii="宋体" w:hAnsi="宋体"/>
          <w:snapToGrid w:val="0"/>
          <w:kern w:val="0"/>
          <w:highlight w:val="none"/>
          <w:u w:val="single"/>
        </w:rPr>
      </w:pPr>
      <w:r>
        <w:rPr>
          <w:rFonts w:ascii="宋体" w:hAnsi="宋体"/>
          <w:snapToGrid w:val="0"/>
          <w:kern w:val="0"/>
          <w:highlight w:val="none"/>
          <w:u w:val="single"/>
        </w:rPr>
        <w:t xml:space="preserve">      </w:t>
      </w:r>
    </w:p>
    <w:p>
      <w:pPr>
        <w:rPr>
          <w:highlight w:val="none"/>
        </w:rPr>
      </w:pPr>
      <w:r>
        <w:rPr>
          <w:highlight w:val="none"/>
        </w:rPr>
        <w:br w:type="page"/>
      </w:r>
    </w:p>
    <w:p>
      <w:pPr>
        <w:adjustRightInd w:val="0"/>
        <w:snapToGrid w:val="0"/>
        <w:spacing w:line="360" w:lineRule="auto"/>
        <w:jc w:val="center"/>
        <w:rPr>
          <w:rFonts w:ascii="宋体" w:hAnsi="宋体"/>
          <w:kern w:val="0"/>
          <w:sz w:val="44"/>
          <w:highlight w:val="none"/>
        </w:rPr>
      </w:pPr>
      <w:r>
        <w:rPr>
          <w:rFonts w:hint="eastAsia" w:ascii="宋体" w:hAnsi="宋体"/>
          <w:kern w:val="0"/>
          <w:sz w:val="44"/>
          <w:highlight w:val="none"/>
        </w:rPr>
        <w:t>投标保函</w:t>
      </w:r>
    </w:p>
    <w:p>
      <w:pPr>
        <w:adjustRightInd w:val="0"/>
        <w:snapToGrid w:val="0"/>
        <w:ind w:firstLine="5670" w:firstLineChars="2700"/>
        <w:rPr>
          <w:rFonts w:ascii="宋体" w:hAnsi="宋体"/>
          <w:kern w:val="0"/>
          <w:szCs w:val="21"/>
          <w:highlight w:val="none"/>
        </w:rPr>
      </w:pPr>
      <w:r>
        <w:rPr>
          <w:rFonts w:hint="eastAsia" w:ascii="宋体" w:hAnsi="宋体"/>
          <w:kern w:val="0"/>
          <w:szCs w:val="21"/>
          <w:highlight w:val="none"/>
        </w:rPr>
        <w:t>保函编号：</w:t>
      </w:r>
      <w:r>
        <w:rPr>
          <w:rFonts w:ascii="宋体" w:hAnsi="宋体"/>
          <w:kern w:val="0"/>
          <w:szCs w:val="21"/>
          <w:highlight w:val="none"/>
          <w:u w:val="single"/>
        </w:rPr>
        <w:t>__________</w:t>
      </w:r>
    </w:p>
    <w:p>
      <w:pPr>
        <w:adjustRightInd w:val="0"/>
        <w:snapToGrid w:val="0"/>
        <w:spacing w:line="360" w:lineRule="exact"/>
        <w:rPr>
          <w:rFonts w:hAnsi="宋体"/>
          <w:kern w:val="0"/>
          <w:szCs w:val="21"/>
          <w:highlight w:val="none"/>
        </w:rPr>
      </w:pPr>
    </w:p>
    <w:p>
      <w:pPr>
        <w:adjustRightInd w:val="0"/>
        <w:snapToGrid w:val="0"/>
        <w:spacing w:line="360" w:lineRule="exact"/>
        <w:rPr>
          <w:rFonts w:hAnsi="宋体"/>
          <w:kern w:val="0"/>
          <w:szCs w:val="21"/>
          <w:highlight w:val="none"/>
        </w:rPr>
      </w:pPr>
      <w:r>
        <w:rPr>
          <w:rFonts w:hint="eastAsia" w:hAnsi="宋体"/>
          <w:kern w:val="0"/>
          <w:szCs w:val="21"/>
          <w:highlight w:val="none"/>
        </w:rPr>
        <w:t>致</w:t>
      </w:r>
      <w:r>
        <w:rPr>
          <w:rFonts w:ascii="宋体" w:hAnsi="宋体"/>
          <w:kern w:val="0"/>
          <w:szCs w:val="21"/>
          <w:highlight w:val="none"/>
          <w:u w:val="single"/>
        </w:rPr>
        <w:t>______________________________</w:t>
      </w:r>
      <w:r>
        <w:rPr>
          <w:rFonts w:hint="eastAsia" w:hAnsi="宋体"/>
          <w:szCs w:val="21"/>
          <w:highlight w:val="none"/>
        </w:rPr>
        <w:t>（</w:t>
      </w:r>
      <w:r>
        <w:rPr>
          <w:rFonts w:hint="eastAsia" w:hAnsi="宋体"/>
          <w:kern w:val="0"/>
          <w:szCs w:val="21"/>
          <w:highlight w:val="none"/>
        </w:rPr>
        <w:t>下称受益人</w:t>
      </w:r>
      <w:r>
        <w:rPr>
          <w:rFonts w:hint="eastAsia" w:hAnsi="宋体"/>
          <w:szCs w:val="21"/>
          <w:highlight w:val="none"/>
        </w:rPr>
        <w:t>）</w:t>
      </w:r>
      <w:r>
        <w:rPr>
          <w:rFonts w:hint="eastAsia" w:hAnsi="宋体"/>
          <w:kern w:val="0"/>
          <w:szCs w:val="21"/>
          <w:highlight w:val="none"/>
        </w:rPr>
        <w:t>：</w:t>
      </w:r>
    </w:p>
    <w:p>
      <w:pPr>
        <w:adjustRightInd w:val="0"/>
        <w:snapToGrid w:val="0"/>
        <w:spacing w:line="360" w:lineRule="exact"/>
        <w:ind w:firstLine="482"/>
        <w:jc w:val="left"/>
        <w:rPr>
          <w:rFonts w:ascii="宋体" w:hAnsi="宋体"/>
          <w:kern w:val="0"/>
          <w:szCs w:val="21"/>
          <w:highlight w:val="none"/>
        </w:rPr>
      </w:pPr>
      <w:r>
        <w:rPr>
          <w:rFonts w:hint="eastAsia" w:ascii="宋体" w:hAnsi="宋体"/>
          <w:kern w:val="0"/>
          <w:szCs w:val="21"/>
          <w:highlight w:val="none"/>
        </w:rPr>
        <w:t>鉴于</w:t>
      </w:r>
      <w:r>
        <w:rPr>
          <w:rFonts w:ascii="宋体" w:hAnsi="宋体"/>
          <w:kern w:val="0"/>
          <w:szCs w:val="21"/>
          <w:highlight w:val="none"/>
          <w:u w:val="single"/>
        </w:rPr>
        <w:t>_____________________________</w:t>
      </w:r>
      <w:r>
        <w:rPr>
          <w:rFonts w:ascii="宋体" w:hAnsi="宋体"/>
          <w:kern w:val="0"/>
          <w:szCs w:val="21"/>
          <w:highlight w:val="none"/>
        </w:rPr>
        <w:t>（</w:t>
      </w:r>
      <w:r>
        <w:rPr>
          <w:rFonts w:hint="eastAsia" w:ascii="宋体" w:hAnsi="宋体"/>
          <w:kern w:val="0"/>
          <w:szCs w:val="21"/>
          <w:highlight w:val="none"/>
        </w:rPr>
        <w:t>下称被保证人</w:t>
      </w:r>
      <w:r>
        <w:rPr>
          <w:rFonts w:ascii="宋体" w:hAnsi="宋体"/>
          <w:kern w:val="0"/>
          <w:szCs w:val="21"/>
          <w:highlight w:val="none"/>
        </w:rPr>
        <w:t>）</w:t>
      </w:r>
      <w:r>
        <w:rPr>
          <w:rFonts w:hint="eastAsia" w:ascii="宋体" w:hAnsi="宋体"/>
          <w:kern w:val="0"/>
          <w:szCs w:val="21"/>
          <w:highlight w:val="none"/>
        </w:rPr>
        <w:t>将参加贵方标段编号为</w:t>
      </w:r>
      <w:r>
        <w:rPr>
          <w:rFonts w:ascii="宋体" w:hAnsi="宋体"/>
          <w:kern w:val="0"/>
          <w:szCs w:val="21"/>
          <w:highlight w:val="none"/>
          <w:u w:val="single"/>
        </w:rPr>
        <w:t>______________</w:t>
      </w:r>
      <w:r>
        <w:rPr>
          <w:rFonts w:hint="eastAsia" w:ascii="宋体" w:hAnsi="宋体"/>
          <w:kern w:val="0"/>
          <w:szCs w:val="21"/>
          <w:highlight w:val="none"/>
        </w:rPr>
        <w:t>的</w:t>
      </w:r>
      <w:r>
        <w:rPr>
          <w:rFonts w:ascii="宋体" w:hAnsi="宋体"/>
          <w:kern w:val="0"/>
          <w:szCs w:val="21"/>
          <w:highlight w:val="none"/>
          <w:u w:val="single"/>
        </w:rPr>
        <w:t>____________________________________</w:t>
      </w:r>
      <w:r>
        <w:rPr>
          <w:rFonts w:hint="eastAsia" w:ascii="宋体" w:hAnsi="宋体"/>
          <w:kern w:val="0"/>
          <w:szCs w:val="21"/>
          <w:highlight w:val="none"/>
        </w:rPr>
        <w:t>项目的投标，我方接受被保证人的委托，在此向受益人提供不可撤销的投标保证：</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一、本保证担保的担保金额为</w:t>
      </w:r>
      <w:r>
        <w:rPr>
          <w:rFonts w:ascii="宋体" w:hAnsi="宋体"/>
          <w:kern w:val="0"/>
          <w:szCs w:val="21"/>
          <w:highlight w:val="none"/>
          <w:u w:val="single"/>
        </w:rPr>
        <w:t>______</w:t>
      </w:r>
      <w:r>
        <w:rPr>
          <w:rFonts w:hint="eastAsia" w:hAnsi="宋体"/>
          <w:szCs w:val="21"/>
          <w:highlight w:val="none"/>
        </w:rPr>
        <w:t>（</w:t>
      </w:r>
      <w:r>
        <w:rPr>
          <w:rFonts w:hint="eastAsia" w:hAnsi="宋体"/>
          <w:kern w:val="0"/>
          <w:szCs w:val="21"/>
          <w:highlight w:val="none"/>
        </w:rPr>
        <w:t>币种</w:t>
      </w:r>
      <w:r>
        <w:rPr>
          <w:rFonts w:hint="eastAsia" w:hAnsi="宋体"/>
          <w:szCs w:val="21"/>
          <w:highlight w:val="none"/>
        </w:rPr>
        <w:t>）</w:t>
      </w:r>
      <w:r>
        <w:rPr>
          <w:rFonts w:ascii="宋体" w:hAnsi="宋体"/>
          <w:kern w:val="0"/>
          <w:szCs w:val="21"/>
          <w:highlight w:val="none"/>
          <w:u w:val="single"/>
        </w:rPr>
        <w:t>______</w:t>
      </w:r>
      <w:r>
        <w:rPr>
          <w:rFonts w:hint="eastAsia" w:hAnsi="宋体"/>
          <w:kern w:val="0"/>
          <w:szCs w:val="21"/>
          <w:highlight w:val="none"/>
        </w:rPr>
        <w:t>元</w:t>
      </w:r>
      <w:r>
        <w:rPr>
          <w:rFonts w:hint="eastAsia" w:hAnsi="宋体"/>
          <w:szCs w:val="21"/>
          <w:highlight w:val="none"/>
        </w:rPr>
        <w:t>（</w:t>
      </w:r>
      <w:r>
        <w:rPr>
          <w:rFonts w:hint="eastAsia" w:hAnsi="宋体"/>
          <w:kern w:val="0"/>
          <w:szCs w:val="21"/>
          <w:highlight w:val="none"/>
        </w:rPr>
        <w:t>小写</w:t>
      </w:r>
      <w:r>
        <w:rPr>
          <w:rFonts w:hint="eastAsia" w:hAnsi="宋体"/>
          <w:szCs w:val="21"/>
          <w:highlight w:val="none"/>
        </w:rPr>
        <w:t>）</w:t>
      </w:r>
      <w:r>
        <w:rPr>
          <w:rFonts w:ascii="宋体" w:hAnsi="宋体"/>
          <w:kern w:val="0"/>
          <w:szCs w:val="21"/>
          <w:highlight w:val="none"/>
          <w:u w:val="single"/>
        </w:rPr>
        <w:t>_____________</w:t>
      </w:r>
      <w:r>
        <w:rPr>
          <w:rFonts w:hint="eastAsia" w:hAnsi="宋体"/>
          <w:szCs w:val="21"/>
          <w:highlight w:val="none"/>
        </w:rPr>
        <w:t>（</w:t>
      </w:r>
      <w:r>
        <w:rPr>
          <w:rFonts w:hint="eastAsia" w:hAnsi="宋体"/>
          <w:kern w:val="0"/>
          <w:szCs w:val="21"/>
          <w:highlight w:val="none"/>
        </w:rPr>
        <w:t>大写</w:t>
      </w:r>
      <w:r>
        <w:rPr>
          <w:rFonts w:hint="eastAsia" w:hAnsi="宋体"/>
          <w:szCs w:val="21"/>
          <w:highlight w:val="none"/>
        </w:rPr>
        <w:t>）</w:t>
      </w:r>
      <w:r>
        <w:rPr>
          <w:rFonts w:hint="eastAsia" w:hAnsi="宋体"/>
          <w:kern w:val="0"/>
          <w:szCs w:val="21"/>
          <w:highlight w:val="none"/>
        </w:rPr>
        <w:t>。</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二、本保证担保的保证期间为该项目的投标有效期或延长的投标有效期后28日</w:t>
      </w:r>
      <w:r>
        <w:rPr>
          <w:rFonts w:hint="eastAsia" w:hAnsi="宋体"/>
          <w:szCs w:val="21"/>
          <w:highlight w:val="none"/>
        </w:rPr>
        <w:t>（</w:t>
      </w:r>
      <w:r>
        <w:rPr>
          <w:rFonts w:hint="eastAsia" w:hAnsi="宋体"/>
          <w:kern w:val="0"/>
          <w:szCs w:val="21"/>
          <w:highlight w:val="none"/>
        </w:rPr>
        <w:t>含28日</w:t>
      </w:r>
      <w:r>
        <w:rPr>
          <w:rFonts w:hint="eastAsia" w:hAnsi="宋体"/>
          <w:szCs w:val="21"/>
          <w:highlight w:val="none"/>
        </w:rPr>
        <w:t>）</w:t>
      </w:r>
      <w:r>
        <w:rPr>
          <w:rFonts w:hint="eastAsia" w:hAnsi="宋体"/>
          <w:kern w:val="0"/>
          <w:szCs w:val="21"/>
          <w:highlight w:val="none"/>
        </w:rPr>
        <w:t>，延长投标有效期无须通知我方。</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三、在本保证担保的保证期间内，如果被保证人出现下列情形之一，受益人可以向我方提起索赔：</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1.被保证人在招标文件规定的投标有效期内撤回其投标；</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2.被保证人在投标有效期内收到受益人发出的中标通知书后，不能或拒绝按招标文件的要求签署合同；</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3.被保证人在投标有效期内收到受益人发出的中标通知书后，不能或拒绝按招标文件的规定提交履约担保。</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五、受益人的索赔通知应当说明索赔理由，并必须在本保证担保的保证期间内以专人送达或邮寄送达的方式送达我方。</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六、本保证担保项下的权利不得转让。</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七、本保证担保的保证期间届满，或我方已向受益人支付本保证担保的担保金额，我方的保证责任免除。</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八、本保证担保适用中华人民共和国法律。</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九、本保证担保以中文文本为准，涂改无效。</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保证人（盖章）：</w:t>
      </w:r>
      <w:r>
        <w:rPr>
          <w:rFonts w:ascii="宋体" w:hAnsi="宋体"/>
          <w:kern w:val="0"/>
          <w:szCs w:val="21"/>
          <w:highlight w:val="none"/>
          <w:u w:val="single"/>
        </w:rPr>
        <w:t>___________________________________________________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法定代表人或其授权委托代理人（签字或盖章）：</w:t>
      </w:r>
      <w:r>
        <w:rPr>
          <w:rFonts w:ascii="宋体" w:hAnsi="宋体"/>
          <w:kern w:val="0"/>
          <w:szCs w:val="21"/>
          <w:highlight w:val="none"/>
          <w:u w:val="single"/>
        </w:rPr>
        <w:t>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单位地址：</w:t>
      </w:r>
      <w:r>
        <w:rPr>
          <w:rFonts w:ascii="宋体" w:hAnsi="宋体"/>
          <w:kern w:val="0"/>
          <w:szCs w:val="21"/>
          <w:highlight w:val="none"/>
          <w:u w:val="single"/>
        </w:rPr>
        <w:t>________________________________________________________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邮政编码：</w:t>
      </w:r>
      <w:r>
        <w:rPr>
          <w:rFonts w:ascii="宋体" w:hAnsi="宋体"/>
          <w:kern w:val="0"/>
          <w:szCs w:val="21"/>
          <w:highlight w:val="none"/>
          <w:u w:val="single"/>
        </w:rPr>
        <w:t>___________</w:t>
      </w:r>
      <w:r>
        <w:rPr>
          <w:rFonts w:hint="eastAsia" w:ascii="宋体" w:hAnsi="宋体"/>
          <w:kern w:val="0"/>
          <w:szCs w:val="21"/>
          <w:highlight w:val="none"/>
        </w:rPr>
        <w:t>电话：</w:t>
      </w:r>
      <w:r>
        <w:rPr>
          <w:rFonts w:ascii="宋体" w:hAnsi="宋体"/>
          <w:kern w:val="0"/>
          <w:szCs w:val="21"/>
          <w:highlight w:val="none"/>
          <w:u w:val="single"/>
        </w:rPr>
        <w:t>_________________</w:t>
      </w:r>
      <w:r>
        <w:rPr>
          <w:rFonts w:hint="eastAsia" w:ascii="宋体" w:hAnsi="宋体"/>
          <w:kern w:val="0"/>
          <w:szCs w:val="21"/>
          <w:highlight w:val="none"/>
        </w:rPr>
        <w:t>传真：</w:t>
      </w:r>
      <w:r>
        <w:rPr>
          <w:rFonts w:ascii="宋体" w:hAnsi="宋体"/>
          <w:kern w:val="0"/>
          <w:szCs w:val="21"/>
          <w:highlight w:val="none"/>
          <w:u w:val="single"/>
        </w:rPr>
        <w:t>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日期：</w:t>
      </w:r>
      <w:r>
        <w:rPr>
          <w:rFonts w:ascii="宋体" w:hAnsi="宋体"/>
          <w:kern w:val="0"/>
          <w:szCs w:val="21"/>
          <w:highlight w:val="none"/>
          <w:u w:val="single"/>
        </w:rPr>
        <w:t>__________</w:t>
      </w:r>
      <w:r>
        <w:rPr>
          <w:rFonts w:hint="eastAsia" w:ascii="宋体" w:hAnsi="宋体"/>
          <w:kern w:val="0"/>
          <w:szCs w:val="21"/>
          <w:highlight w:val="none"/>
        </w:rPr>
        <w:t>年</w:t>
      </w:r>
      <w:r>
        <w:rPr>
          <w:rFonts w:ascii="宋体" w:hAnsi="宋体"/>
          <w:kern w:val="0"/>
          <w:szCs w:val="21"/>
          <w:highlight w:val="none"/>
          <w:u w:val="single"/>
        </w:rPr>
        <w:t>______</w:t>
      </w:r>
      <w:r>
        <w:rPr>
          <w:rFonts w:hint="eastAsia" w:ascii="宋体" w:hAnsi="宋体"/>
          <w:kern w:val="0"/>
          <w:szCs w:val="21"/>
          <w:highlight w:val="none"/>
        </w:rPr>
        <w:t>月</w:t>
      </w:r>
      <w:r>
        <w:rPr>
          <w:rFonts w:ascii="宋体" w:hAnsi="宋体"/>
          <w:kern w:val="0"/>
          <w:szCs w:val="21"/>
          <w:highlight w:val="none"/>
          <w:u w:val="single"/>
        </w:rPr>
        <w:t>______</w:t>
      </w:r>
      <w:r>
        <w:rPr>
          <w:rFonts w:hint="eastAsia" w:ascii="宋体" w:hAnsi="宋体"/>
          <w:kern w:val="0"/>
          <w:szCs w:val="21"/>
          <w:highlight w:val="none"/>
        </w:rPr>
        <w:t>日</w:t>
      </w:r>
    </w:p>
    <w:p>
      <w:pPr>
        <w:adjustRightInd w:val="0"/>
        <w:snapToGrid w:val="0"/>
        <w:spacing w:line="360" w:lineRule="exact"/>
        <w:ind w:firstLine="420" w:firstLineChars="200"/>
        <w:rPr>
          <w:rFonts w:ascii="宋体" w:hAnsi="宋体"/>
          <w:kern w:val="0"/>
          <w:szCs w:val="21"/>
          <w:highlight w:val="none"/>
        </w:rPr>
      </w:pPr>
    </w:p>
    <w:p>
      <w:pPr>
        <w:adjustRightInd w:val="0"/>
        <w:snapToGrid w:val="0"/>
        <w:spacing w:line="360" w:lineRule="exact"/>
        <w:rPr>
          <w:rFonts w:ascii="宋体" w:hAnsi="宋体"/>
          <w:kern w:val="0"/>
          <w:szCs w:val="21"/>
          <w:highlight w:val="none"/>
        </w:rPr>
      </w:pPr>
      <w:r>
        <w:rPr>
          <w:rFonts w:hint="eastAsia" w:ascii="宋体" w:hAnsi="宋体"/>
          <w:kern w:val="0"/>
          <w:szCs w:val="21"/>
          <w:highlight w:val="none"/>
        </w:rPr>
        <w:t>（本保函失效后，请将原件退回我方注销）</w:t>
      </w:r>
    </w:p>
    <w:p>
      <w:pPr>
        <w:adjustRightInd w:val="0"/>
        <w:snapToGrid w:val="0"/>
        <w:spacing w:line="360" w:lineRule="exact"/>
        <w:rPr>
          <w:rFonts w:ascii="宋体" w:hAnsi="宋体"/>
          <w:kern w:val="0"/>
          <w:szCs w:val="21"/>
          <w:highlight w:val="none"/>
        </w:rPr>
      </w:pPr>
    </w:p>
    <w:p>
      <w:pPr>
        <w:pStyle w:val="2"/>
        <w:rPr>
          <w:highlight w:val="none"/>
        </w:rPr>
      </w:pPr>
      <w:r>
        <w:rPr>
          <w:rFonts w:hint="eastAsia" w:hAnsi="宋体"/>
          <w:kern w:val="0"/>
          <w:szCs w:val="21"/>
          <w:highlight w:val="none"/>
        </w:rPr>
        <w:t>注：如果投标人不采用以上投标保函格式，拟采用的投标保函格式须经招标人确认。</w:t>
      </w:r>
    </w:p>
    <w:p>
      <w:pPr>
        <w:adjustRightInd w:val="0"/>
        <w:snapToGrid w:val="0"/>
        <w:spacing w:line="360" w:lineRule="auto"/>
        <w:jc w:val="left"/>
        <w:rPr>
          <w:rFonts w:hAnsi="宋体"/>
          <w:b/>
          <w:kern w:val="0"/>
          <w:sz w:val="22"/>
          <w:highlight w:val="none"/>
        </w:rPr>
      </w:pPr>
      <w:r>
        <w:rPr>
          <w:rFonts w:hint="eastAsia" w:hAnsi="宋体"/>
          <w:b/>
          <w:kern w:val="0"/>
          <w:sz w:val="22"/>
          <w:highlight w:val="none"/>
        </w:rPr>
        <w:t>提示：本投标函明确除标明由</w:t>
      </w:r>
      <w:r>
        <w:rPr>
          <w:rFonts w:hint="eastAsia" w:hAnsi="宋体"/>
          <w:b/>
          <w:bCs/>
          <w:kern w:val="0"/>
          <w:sz w:val="22"/>
          <w:highlight w:val="none"/>
        </w:rPr>
        <w:t>“投标人填写”外，其余空格全部应由招标人填写完整。一旦投标人中标后，该投标函将作为后续监管的依据。</w:t>
      </w:r>
    </w:p>
    <w:p>
      <w:pPr>
        <w:rPr>
          <w:rFonts w:ascii="黑体" w:eastAsia="黑体"/>
          <w:kern w:val="0"/>
          <w:sz w:val="32"/>
          <w:szCs w:val="32"/>
          <w:highlight w:val="none"/>
        </w:rPr>
      </w:pPr>
      <w:r>
        <w:rPr>
          <w:rFonts w:ascii="黑体" w:eastAsia="黑体"/>
          <w:kern w:val="0"/>
          <w:sz w:val="32"/>
          <w:szCs w:val="32"/>
          <w:highlight w:val="none"/>
        </w:rPr>
        <w:br w:type="page"/>
      </w:r>
    </w:p>
    <w:p>
      <w:pPr>
        <w:adjustRightInd w:val="0"/>
        <w:snapToGrid w:val="0"/>
        <w:spacing w:line="360" w:lineRule="auto"/>
        <w:jc w:val="center"/>
        <w:rPr>
          <w:rFonts w:ascii="黑体" w:eastAsia="黑体"/>
          <w:bCs/>
          <w:kern w:val="0"/>
          <w:sz w:val="52"/>
          <w:szCs w:val="52"/>
          <w:highlight w:val="none"/>
        </w:rPr>
      </w:pPr>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w:t>
      </w:r>
      <w:r>
        <w:rPr>
          <w:rFonts w:hint="eastAsia" w:ascii="黑体" w:eastAsia="黑体"/>
          <w:bCs/>
          <w:kern w:val="0"/>
          <w:sz w:val="52"/>
          <w:szCs w:val="52"/>
          <w:highlight w:val="none"/>
          <w:lang w:eastAsia="zh-CN"/>
        </w:rPr>
        <w:t>监理</w:t>
      </w:r>
      <w:r>
        <w:rPr>
          <w:rFonts w:hint="eastAsia" w:ascii="黑体" w:eastAsia="黑体"/>
          <w:bCs/>
          <w:kern w:val="0"/>
          <w:sz w:val="52"/>
          <w:szCs w:val="52"/>
          <w:highlight w:val="none"/>
        </w:rPr>
        <w:t>类招标</w:t>
      </w: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r>
        <w:rPr>
          <w:rFonts w:hint="eastAsia" w:ascii="黑体" w:eastAsia="黑体"/>
          <w:bCs/>
          <w:kern w:val="0"/>
          <w:sz w:val="52"/>
          <w:szCs w:val="52"/>
          <w:highlight w:val="none"/>
        </w:rPr>
        <w:t>投 标 文 件</w:t>
      </w: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hint="eastAsia" w:ascii="宋体"/>
          <w:kern w:val="0"/>
          <w:sz w:val="30"/>
          <w:szCs w:val="30"/>
          <w:highlight w:val="none"/>
          <w:u w:val="single"/>
          <w:lang w:eastAsia="zh-CN"/>
        </w:rPr>
      </w:pPr>
      <w:r>
        <w:rPr>
          <w:rFonts w:hint="eastAsia" w:ascii="黑体" w:eastAsia="黑体"/>
          <w:kern w:val="0"/>
          <w:sz w:val="30"/>
          <w:szCs w:val="30"/>
          <w:highlight w:val="none"/>
        </w:rPr>
        <w:t>投标文件内容：</w:t>
      </w:r>
      <w:r>
        <w:rPr>
          <w:rFonts w:hint="eastAsia" w:ascii="宋体"/>
          <w:kern w:val="0"/>
          <w:sz w:val="30"/>
          <w:szCs w:val="30"/>
          <w:highlight w:val="none"/>
          <w:u w:val="single"/>
          <w:lang w:eastAsia="zh-CN"/>
        </w:rPr>
        <w:t>商务标部分</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pStyle w:val="2"/>
        <w:rPr>
          <w:rFonts w:hint="eastAsia" w:ascii="宋体" w:hAnsi="宋体"/>
          <w:kern w:val="0"/>
          <w:highlight w:val="none"/>
        </w:rPr>
      </w:pPr>
      <w:r>
        <w:rPr>
          <w:rFonts w:hint="eastAsia" w:ascii="宋体" w:hAnsi="宋体"/>
          <w:kern w:val="0"/>
          <w:highlight w:val="none"/>
        </w:rPr>
        <w:t>对所提供资料的真实性、准确性、有效性负全部责任。</w:t>
      </w:r>
    </w:p>
    <w:p>
      <w:pPr>
        <w:rPr>
          <w:rFonts w:hint="eastAsia" w:ascii="宋体" w:hAnsi="宋体"/>
          <w:kern w:val="0"/>
          <w:highlight w:val="none"/>
        </w:rPr>
      </w:pPr>
      <w:r>
        <w:rPr>
          <w:rFonts w:hint="eastAsia" w:ascii="宋体" w:hAnsi="宋体"/>
          <w:kern w:val="0"/>
          <w:highlight w:val="none"/>
        </w:rPr>
        <w:br w:type="page"/>
      </w:r>
    </w:p>
    <w:p>
      <w:pPr>
        <w:pStyle w:val="2"/>
        <w:rPr>
          <w:rFonts w:hint="eastAsia" w:ascii="宋体" w:hAnsi="宋体"/>
          <w:kern w:val="0"/>
          <w:highlight w:val="none"/>
        </w:rPr>
      </w:pPr>
    </w:p>
    <w:p>
      <w:pPr>
        <w:adjustRightInd w:val="0"/>
        <w:snapToGrid w:val="0"/>
        <w:spacing w:line="360" w:lineRule="auto"/>
        <w:jc w:val="center"/>
        <w:rPr>
          <w:rFonts w:ascii="黑体" w:eastAsia="黑体"/>
          <w:kern w:val="0"/>
          <w:sz w:val="32"/>
          <w:szCs w:val="32"/>
          <w:highlight w:val="none"/>
        </w:rPr>
      </w:pPr>
      <w:r>
        <w:rPr>
          <w:rFonts w:hint="eastAsia" w:ascii="黑体" w:eastAsia="黑体"/>
          <w:kern w:val="0"/>
          <w:sz w:val="32"/>
          <w:szCs w:val="32"/>
          <w:highlight w:val="none"/>
        </w:rPr>
        <w:t>投标函</w:t>
      </w:r>
    </w:p>
    <w:p>
      <w:pPr>
        <w:adjustRightInd w:val="0"/>
        <w:snapToGrid w:val="0"/>
        <w:spacing w:line="360" w:lineRule="auto"/>
        <w:jc w:val="center"/>
        <w:rPr>
          <w:rFonts w:ascii="黑体" w:eastAsia="黑体"/>
          <w:kern w:val="0"/>
          <w:sz w:val="32"/>
          <w:szCs w:val="32"/>
          <w:highlight w:val="none"/>
        </w:rPr>
      </w:pPr>
    </w:p>
    <w:p>
      <w:pPr>
        <w:adjustRightInd w:val="0"/>
        <w:snapToGrid w:val="0"/>
        <w:spacing w:line="360" w:lineRule="auto"/>
        <w:jc w:val="left"/>
        <w:rPr>
          <w:rFonts w:ascii="宋体" w:hAnsi="宋体"/>
          <w:kern w:val="0"/>
          <w:szCs w:val="21"/>
          <w:highlight w:val="none"/>
        </w:rPr>
      </w:pPr>
      <w:r>
        <w:rPr>
          <w:rFonts w:hint="eastAsia" w:ascii="宋体" w:hAnsi="宋体"/>
          <w:kern w:val="0"/>
          <w:szCs w:val="21"/>
          <w:highlight w:val="none"/>
        </w:rPr>
        <w:t>致招标人：</w:t>
      </w:r>
      <w:r>
        <w:rPr>
          <w:rFonts w:ascii="宋体" w:hAnsi="宋体"/>
          <w:kern w:val="0"/>
          <w:szCs w:val="21"/>
          <w:highlight w:val="none"/>
        </w:rPr>
        <w:t>__________________________</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为了确保本工程招标投标工作顺利进行，同时保证优质高效、文明施工，我方将严格执行建设工程管理的法律法规，并完全接受</w:t>
      </w:r>
      <w:r>
        <w:rPr>
          <w:rFonts w:ascii="宋体" w:hAnsi="宋体"/>
          <w:bCs/>
          <w:kern w:val="0"/>
          <w:highlight w:val="none"/>
        </w:rPr>
        <w:t>_______________________</w:t>
      </w:r>
      <w:r>
        <w:rPr>
          <w:rFonts w:hint="eastAsia" w:ascii="宋体" w:hAnsi="宋体"/>
          <w:bCs/>
          <w:kern w:val="0"/>
          <w:highlight w:val="none"/>
        </w:rPr>
        <w:t>工程的招标文件所有内容，为此作出如下承诺：</w:t>
      </w:r>
    </w:p>
    <w:p>
      <w:pPr>
        <w:adjustRightInd w:val="0"/>
        <w:snapToGrid w:val="0"/>
        <w:spacing w:line="360" w:lineRule="auto"/>
        <w:ind w:firstLine="420" w:firstLineChars="200"/>
        <w:jc w:val="left"/>
        <w:rPr>
          <w:rFonts w:hint="eastAsia" w:ascii="宋体" w:hAnsi="宋体" w:eastAsiaTheme="minorEastAsia"/>
          <w:kern w:val="0"/>
          <w:highlight w:val="none"/>
          <w:lang w:eastAsia="zh-CN"/>
        </w:rPr>
      </w:pPr>
      <w:r>
        <w:rPr>
          <w:rFonts w:hint="eastAsia" w:ascii="宋体" w:hAnsi="宋体"/>
          <w:kern w:val="0"/>
          <w:highlight w:val="none"/>
        </w:rPr>
        <w:t>1、经分析研究贵方提供的本项目招标文件以及有关书面答复与补充文件，并经现场考察后，我单位愿以</w:t>
      </w:r>
      <w:r>
        <w:rPr>
          <w:rFonts w:hint="eastAsia" w:ascii="宋体" w:hAnsi="宋体"/>
          <w:kern w:val="0"/>
          <w:highlight w:val="none"/>
          <w:lang w:eastAsia="zh-CN"/>
        </w:rPr>
        <w:t>人民币（大写）</w:t>
      </w:r>
      <w:r>
        <w:rPr>
          <w:rFonts w:hint="eastAsia" w:ascii="宋体" w:hAnsi="宋体"/>
          <w:kern w:val="0"/>
          <w:highlight w:val="none"/>
          <w:u w:val="single"/>
          <w:lang w:val="en-US" w:eastAsia="zh-CN"/>
        </w:rPr>
        <w:t xml:space="preserve">      </w:t>
      </w:r>
      <w:r>
        <w:rPr>
          <w:rFonts w:hint="eastAsia" w:ascii="宋体" w:hAnsi="宋体"/>
          <w:kern w:val="0"/>
          <w:highlight w:val="none"/>
          <w:lang w:val="en-US" w:eastAsia="zh-CN"/>
        </w:rPr>
        <w:t>元（￥</w:t>
      </w:r>
      <w:r>
        <w:rPr>
          <w:rFonts w:hint="eastAsia" w:ascii="宋体" w:hAnsi="宋体"/>
          <w:kern w:val="0"/>
          <w:highlight w:val="none"/>
          <w:u w:val="single"/>
          <w:lang w:val="en-US" w:eastAsia="zh-CN"/>
        </w:rPr>
        <w:t xml:space="preserve">    </w:t>
      </w:r>
      <w:r>
        <w:rPr>
          <w:rFonts w:hint="eastAsia" w:ascii="宋体" w:hAnsi="宋体"/>
          <w:kern w:val="0"/>
          <w:highlight w:val="none"/>
          <w:lang w:val="en-US" w:eastAsia="zh-CN"/>
        </w:rPr>
        <w:t>元）的投标总报价</w:t>
      </w:r>
      <w:r>
        <w:rPr>
          <w:rFonts w:hint="eastAsia" w:ascii="宋体" w:hAnsi="宋体"/>
          <w:kern w:val="0"/>
          <w:highlight w:val="none"/>
        </w:rPr>
        <w:t>，</w:t>
      </w:r>
      <w:r>
        <w:rPr>
          <w:rFonts w:hint="eastAsia" w:ascii="宋体" w:hAnsi="宋体"/>
          <w:kern w:val="0"/>
          <w:highlight w:val="none"/>
          <w:lang w:eastAsia="zh-CN"/>
        </w:rPr>
        <w:t>监理服务期限：</w:t>
      </w:r>
      <w:r>
        <w:rPr>
          <w:rFonts w:hint="eastAsia" w:ascii="宋体" w:hAnsi="宋体"/>
          <w:kern w:val="0"/>
          <w:highlight w:val="none"/>
          <w:u w:val="single"/>
          <w:lang w:val="en-US" w:eastAsia="zh-CN"/>
        </w:rPr>
        <w:t xml:space="preserve">       </w:t>
      </w:r>
      <w:r>
        <w:rPr>
          <w:rFonts w:hint="eastAsia" w:ascii="宋体" w:hAnsi="宋体"/>
          <w:kern w:val="0"/>
          <w:highlight w:val="none"/>
          <w:lang w:eastAsia="zh-CN"/>
        </w:rPr>
        <w:t>按合同约定完成监理工作。</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bCs/>
          <w:kern w:val="0"/>
          <w:szCs w:val="21"/>
          <w:highlight w:val="none"/>
        </w:rPr>
        <w:t>2、</w:t>
      </w:r>
      <w:r>
        <w:rPr>
          <w:rFonts w:hint="eastAsia" w:ascii="宋体" w:hAnsi="宋体"/>
          <w:kern w:val="0"/>
          <w:szCs w:val="21"/>
          <w:highlight w:val="none"/>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3、我方保证所提交的保证金是从我单位基本账户汇出，银行保函是由我单位基本账户开户银行所在网点或其上级银行机构出具</w:t>
      </w:r>
      <w:r>
        <w:rPr>
          <w:rFonts w:hint="eastAsia" w:ascii="宋体" w:hAnsi="宋体" w:cs="Courier New"/>
          <w:kern w:val="0"/>
          <w:szCs w:val="21"/>
          <w:highlight w:val="none"/>
        </w:rPr>
        <w:t>，保证保险的保费是通过我单位基本账户支付，如不按上述原则提交投标担保，招标人</w:t>
      </w:r>
      <w:r>
        <w:rPr>
          <w:rFonts w:hint="eastAsia" w:hAnsi="宋体"/>
          <w:bCs/>
          <w:kern w:val="0"/>
          <w:szCs w:val="21"/>
          <w:highlight w:val="none"/>
        </w:rPr>
        <w:t>有权取消我方的中标资格或单方面终止合同，因此造成的责任由我方承担。</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kern w:val="0"/>
          <w:highlight w:val="none"/>
        </w:rPr>
        <w:t>4、我方完全理解和接受本招标文件的规定，并承诺一旦我方的投标出现招标文件中列举的严重违规或涉嫌串通投标的情形而被评标委员会废标，将自觉接受贵方暂停或者取消今后我方参加贵方其他任何工程投标资格的处理。</w:t>
      </w:r>
    </w:p>
    <w:p>
      <w:pPr>
        <w:adjustRightInd w:val="0"/>
        <w:snapToGrid w:val="0"/>
        <w:spacing w:line="360" w:lineRule="auto"/>
        <w:ind w:firstLine="420" w:firstLineChars="200"/>
        <w:jc w:val="left"/>
        <w:rPr>
          <w:rFonts w:ascii="宋体" w:hAnsi="宋体" w:cs="Courier New"/>
          <w:bCs/>
          <w:kern w:val="0"/>
          <w:szCs w:val="21"/>
          <w:highlight w:val="none"/>
        </w:rPr>
      </w:pPr>
      <w:r>
        <w:rPr>
          <w:rFonts w:hint="eastAsia" w:ascii="宋体" w:hAnsi="宋体" w:cs="Courier New"/>
          <w:bCs/>
          <w:kern w:val="0"/>
          <w:szCs w:val="21"/>
          <w:highlight w:val="none"/>
        </w:rPr>
        <w:t>5、一旦我方中标，将保证在收到中标通知书后</w:t>
      </w:r>
      <w:r>
        <w:rPr>
          <w:rFonts w:ascii="宋体" w:hAnsi="宋体" w:cs="Courier New"/>
          <w:bCs/>
          <w:color w:val="0000FF"/>
          <w:kern w:val="0"/>
          <w:szCs w:val="21"/>
          <w:highlight w:val="none"/>
          <w:u w:val="single"/>
        </w:rPr>
        <w:t xml:space="preserve">      </w:t>
      </w:r>
      <w:r>
        <w:rPr>
          <w:rFonts w:hint="eastAsia" w:ascii="宋体" w:hAnsi="宋体" w:cs="Courier New"/>
          <w:bCs/>
          <w:kern w:val="0"/>
          <w:szCs w:val="21"/>
          <w:highlight w:val="none"/>
        </w:rPr>
        <w:t>日内，与贵方按招标文件、中标通知书中的内容签定</w:t>
      </w:r>
      <w:r>
        <w:rPr>
          <w:rFonts w:hint="eastAsia" w:ascii="宋体" w:hAnsi="宋体" w:cs="Courier New"/>
          <w:bCs/>
          <w:kern w:val="0"/>
          <w:szCs w:val="21"/>
          <w:highlight w:val="none"/>
          <w:lang w:eastAsia="zh-CN"/>
        </w:rPr>
        <w:t>监理</w:t>
      </w:r>
      <w:r>
        <w:rPr>
          <w:rFonts w:hint="eastAsia" w:ascii="宋体" w:hAnsi="宋体" w:cs="Courier New"/>
          <w:bCs/>
          <w:kern w:val="0"/>
          <w:szCs w:val="21"/>
          <w:highlight w:val="none"/>
        </w:rPr>
        <w:t>合同，否则，视为我方自愿放弃中标资格。</w:t>
      </w:r>
    </w:p>
    <w:p>
      <w:pPr>
        <w:adjustRightInd w:val="0"/>
        <w:snapToGrid w:val="0"/>
        <w:spacing w:line="360" w:lineRule="auto"/>
        <w:ind w:firstLine="420" w:firstLineChars="200"/>
        <w:jc w:val="left"/>
        <w:rPr>
          <w:rFonts w:ascii="宋体" w:hAnsi="宋体" w:cs="Courier New"/>
          <w:bCs/>
          <w:kern w:val="0"/>
          <w:szCs w:val="21"/>
          <w:highlight w:val="none"/>
        </w:rPr>
      </w:pPr>
      <w:r>
        <w:rPr>
          <w:rFonts w:hint="eastAsia" w:ascii="宋体" w:hAnsi="宋体"/>
          <w:kern w:val="0"/>
          <w:szCs w:val="21"/>
          <w:highlight w:val="none"/>
        </w:rPr>
        <w:t>6、除非另外达成协议并生效，贵方的中标通知书和本投标文件将成为约束双方的合同文件的组成部分。</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7、按规定完成</w:t>
      </w:r>
      <w:r>
        <w:rPr>
          <w:rFonts w:hint="eastAsia" w:ascii="宋体" w:hAnsi="宋体"/>
          <w:bCs/>
          <w:kern w:val="0"/>
          <w:highlight w:val="none"/>
          <w:lang w:eastAsia="zh-CN"/>
        </w:rPr>
        <w:t>监理</w:t>
      </w:r>
      <w:r>
        <w:rPr>
          <w:rFonts w:hint="eastAsia" w:ascii="宋体" w:hAnsi="宋体"/>
          <w:bCs/>
          <w:kern w:val="0"/>
          <w:highlight w:val="none"/>
        </w:rPr>
        <w:t>合同承包范围</w:t>
      </w:r>
      <w:r>
        <w:rPr>
          <w:rFonts w:ascii="宋体" w:hAnsi="宋体"/>
          <w:bCs/>
          <w:color w:val="0000FF"/>
          <w:kern w:val="0"/>
          <w:highlight w:val="none"/>
          <w:u w:val="single"/>
        </w:rPr>
        <w:t xml:space="preserve">      </w:t>
      </w:r>
      <w:r>
        <w:rPr>
          <w:rFonts w:hint="eastAsia" w:ascii="宋体" w:hAnsi="宋体"/>
          <w:bCs/>
          <w:kern w:val="0"/>
          <w:highlight w:val="none"/>
        </w:rPr>
        <w:t>（与招标范围一致）的全部内容。</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8、建立完善的质量安全保证体系，配备与投标文件相一致且满足工程建设规模、技术要求、安全要求的项目管理机构和项目管理人员。我方在本工程中配备的项目管理机构和项目管理人员详见附件1《项目管理班子配备情况表》（投标人填写）。撤换上述人员前，必须征得贵方批准同意。否则，招标人有权取消我方的中标资格或单方面终止合同，由此造成的违约责任由我方承担。</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9、我方在本工程中投入的主要</w:t>
      </w:r>
      <w:r>
        <w:rPr>
          <w:rFonts w:hint="eastAsia" w:ascii="宋体" w:hAnsi="宋体"/>
          <w:bCs/>
          <w:kern w:val="0"/>
          <w:highlight w:val="none"/>
          <w:lang w:eastAsia="zh-CN"/>
        </w:rPr>
        <w:t>设备、仪器</w:t>
      </w:r>
      <w:r>
        <w:rPr>
          <w:rFonts w:hint="eastAsia" w:ascii="宋体" w:hAnsi="宋体"/>
          <w:bCs/>
          <w:kern w:val="0"/>
          <w:highlight w:val="none"/>
        </w:rPr>
        <w:t>详见附件</w:t>
      </w:r>
      <w:r>
        <w:rPr>
          <w:rFonts w:hint="eastAsia" w:ascii="宋体" w:hAnsi="宋体"/>
          <w:bCs/>
          <w:kern w:val="0"/>
          <w:highlight w:val="none"/>
          <w:lang w:val="en-US" w:eastAsia="zh-CN"/>
        </w:rPr>
        <w:t>3</w:t>
      </w:r>
      <w:r>
        <w:rPr>
          <w:rFonts w:hint="eastAsia" w:ascii="宋体" w:hAnsi="宋体"/>
          <w:bCs/>
          <w:kern w:val="0"/>
          <w:highlight w:val="none"/>
        </w:rPr>
        <w:t>《投标人拟投入监理仪器、设备计划表》。（投标人填写）</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lang w:val="en-US" w:eastAsia="zh-CN"/>
        </w:rPr>
        <w:t>10</w:t>
      </w:r>
      <w:r>
        <w:rPr>
          <w:rFonts w:hint="eastAsia" w:ascii="宋体" w:hAnsi="宋体"/>
          <w:bCs/>
          <w:kern w:val="0"/>
          <w:highlight w:val="none"/>
        </w:rPr>
        <w:t>、我方在本次投标中无弄虚作假行为，且未与其他投标人、招标人及评标专家串通投标。否则，将接受取消投标资格、取消中标资格、解除合同、记录不良行为，涉嫌构成犯罪的，将依法追究刑事责任并移送公安机关查处。</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1</w:t>
      </w:r>
      <w:r>
        <w:rPr>
          <w:rFonts w:hint="eastAsia" w:ascii="宋体" w:hAnsi="宋体"/>
          <w:bCs/>
          <w:kern w:val="0"/>
          <w:highlight w:val="none"/>
          <w:lang w:val="en-US" w:eastAsia="zh-CN"/>
        </w:rPr>
        <w:t>1</w:t>
      </w:r>
      <w:r>
        <w:rPr>
          <w:rFonts w:hint="eastAsia" w:ascii="宋体" w:hAnsi="宋体"/>
          <w:bCs/>
          <w:kern w:val="0"/>
          <w:highlight w:val="none"/>
        </w:rPr>
        <w:t>、如果违反本投标函中任何条款，我方愿意接受：</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(1)视作我方单方面违约，并按照合同规定向贵方支付违约金或解除合同；</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(2)履约评价评定为良好及以下；</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(3)本工程招标人今后可拒绝我方参与投标；</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(4)建设行政主管部门或相关主管部门的不良行为记录、行政处罚。</w:t>
      </w: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投标人（单位公章）：</w:t>
      </w:r>
      <w:r>
        <w:rPr>
          <w:rFonts w:ascii="宋体" w:hAnsi="宋体"/>
          <w:kern w:val="0"/>
          <w:szCs w:val="21"/>
          <w:highlight w:val="none"/>
        </w:rPr>
        <w:t>__________________________________________________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单位地址：</w:t>
      </w:r>
      <w:r>
        <w:rPr>
          <w:rFonts w:ascii="宋体" w:hAnsi="宋体"/>
          <w:kern w:val="0"/>
          <w:szCs w:val="21"/>
          <w:highlight w:val="none"/>
        </w:rPr>
        <w:t>___________________________________________________________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邮政编码：</w:t>
      </w:r>
      <w:r>
        <w:rPr>
          <w:rFonts w:ascii="宋体" w:hAnsi="宋体"/>
          <w:kern w:val="0"/>
          <w:szCs w:val="21"/>
          <w:highlight w:val="none"/>
        </w:rPr>
        <w:t>__________________</w:t>
      </w:r>
      <w:r>
        <w:rPr>
          <w:rFonts w:hint="eastAsia" w:ascii="宋体" w:hAnsi="宋体"/>
          <w:kern w:val="0"/>
          <w:szCs w:val="21"/>
          <w:highlight w:val="none"/>
        </w:rPr>
        <w:t>电话：</w:t>
      </w:r>
      <w:r>
        <w:rPr>
          <w:rFonts w:ascii="宋体" w:hAnsi="宋体"/>
          <w:kern w:val="0"/>
          <w:szCs w:val="21"/>
          <w:highlight w:val="none"/>
        </w:rPr>
        <w:t>______________</w:t>
      </w:r>
      <w:r>
        <w:rPr>
          <w:rFonts w:hint="eastAsia" w:ascii="宋体" w:hAnsi="宋体"/>
          <w:kern w:val="0"/>
          <w:szCs w:val="21"/>
          <w:highlight w:val="none"/>
        </w:rPr>
        <w:t>传真：</w:t>
      </w:r>
      <w:r>
        <w:rPr>
          <w:rFonts w:ascii="宋体" w:hAnsi="宋体"/>
          <w:kern w:val="0"/>
          <w:szCs w:val="21"/>
          <w:highlight w:val="none"/>
        </w:rPr>
        <w:t>______________</w:t>
      </w: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0" w:firstLineChars="2000"/>
        <w:jc w:val="left"/>
        <w:rPr>
          <w:rFonts w:ascii="宋体" w:hAnsi="宋体"/>
          <w:bCs/>
          <w:kern w:val="0"/>
          <w:highlight w:val="none"/>
        </w:rPr>
      </w:pPr>
      <w:r>
        <w:rPr>
          <w:rFonts w:hint="eastAsia" w:ascii="宋体" w:hAnsi="宋体"/>
          <w:bCs/>
          <w:kern w:val="0"/>
          <w:highlight w:val="none"/>
        </w:rPr>
        <w:t>年   月   日</w:t>
      </w: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附件1《项目管理班子人员配备</w:t>
      </w:r>
      <w:r>
        <w:rPr>
          <w:rFonts w:hint="eastAsia" w:ascii="宋体" w:hAnsi="宋体"/>
          <w:bCs/>
          <w:kern w:val="0"/>
          <w:highlight w:val="none"/>
          <w:lang w:eastAsia="zh-CN"/>
        </w:rPr>
        <w:t>情况表</w:t>
      </w:r>
      <w:r>
        <w:rPr>
          <w:rFonts w:hint="eastAsia" w:ascii="宋体" w:hAnsi="宋体"/>
          <w:bCs/>
          <w:kern w:val="0"/>
          <w:highlight w:val="none"/>
        </w:rPr>
        <w:t>》</w:t>
      </w:r>
    </w:p>
    <w:p>
      <w:pPr>
        <w:adjustRightInd w:val="0"/>
        <w:snapToGrid w:val="0"/>
        <w:spacing w:line="360" w:lineRule="auto"/>
        <w:jc w:val="left"/>
        <w:rPr>
          <w:rFonts w:hint="eastAsia" w:ascii="宋体" w:hAnsi="宋体" w:eastAsiaTheme="minorEastAsia"/>
          <w:bCs/>
          <w:kern w:val="0"/>
          <w:highlight w:val="none"/>
          <w:lang w:eastAsia="zh-CN"/>
        </w:rPr>
      </w:pPr>
      <w:r>
        <w:rPr>
          <w:rFonts w:hint="eastAsia" w:ascii="宋体" w:hAnsi="宋体"/>
          <w:bCs/>
          <w:kern w:val="0"/>
          <w:highlight w:val="none"/>
        </w:rPr>
        <w:t>附件2</w:t>
      </w:r>
      <w:r>
        <w:rPr>
          <w:rFonts w:hint="eastAsia" w:ascii="宋体" w:hAnsi="宋体"/>
          <w:bCs/>
          <w:kern w:val="0"/>
          <w:highlight w:val="none"/>
          <w:lang w:eastAsia="zh-CN"/>
        </w:rPr>
        <w:t>《</w:t>
      </w:r>
      <w:r>
        <w:rPr>
          <w:rFonts w:hint="eastAsia" w:ascii="宋体" w:hAnsi="宋体"/>
          <w:bCs/>
          <w:kern w:val="0"/>
          <w:highlight w:val="none"/>
        </w:rPr>
        <w:t>投标人派任项目总监简历表</w:t>
      </w:r>
      <w:r>
        <w:rPr>
          <w:rFonts w:hint="eastAsia" w:ascii="宋体" w:hAnsi="宋体"/>
          <w:bCs/>
          <w:kern w:val="0"/>
          <w:highlight w:val="none"/>
          <w:lang w:eastAsia="zh-CN"/>
        </w:rPr>
        <w:t>》</w:t>
      </w:r>
    </w:p>
    <w:p>
      <w:pPr>
        <w:adjustRightInd w:val="0"/>
        <w:snapToGrid w:val="0"/>
        <w:spacing w:line="360" w:lineRule="auto"/>
        <w:jc w:val="left"/>
        <w:rPr>
          <w:rFonts w:ascii="宋体" w:hAnsi="宋体"/>
          <w:bCs/>
          <w:kern w:val="0"/>
          <w:highlight w:val="none"/>
        </w:rPr>
      </w:pPr>
      <w:r>
        <w:rPr>
          <w:rFonts w:hint="eastAsia" w:ascii="宋体" w:hAnsi="宋体"/>
          <w:bCs/>
          <w:kern w:val="0"/>
          <w:highlight w:val="none"/>
          <w:lang w:eastAsia="zh-CN"/>
        </w:rPr>
        <w:t>附件</w:t>
      </w:r>
      <w:r>
        <w:rPr>
          <w:rFonts w:hint="eastAsia" w:ascii="宋体" w:hAnsi="宋体"/>
          <w:bCs/>
          <w:kern w:val="0"/>
          <w:highlight w:val="none"/>
          <w:lang w:val="en-US" w:eastAsia="zh-CN"/>
        </w:rPr>
        <w:t>3</w:t>
      </w:r>
      <w:r>
        <w:rPr>
          <w:rFonts w:hint="eastAsia" w:ascii="宋体" w:hAnsi="宋体"/>
          <w:bCs/>
          <w:kern w:val="0"/>
          <w:highlight w:val="none"/>
        </w:rPr>
        <w:t>《投标人拟投入监理仪器、设备计划表》</w:t>
      </w:r>
      <w:r>
        <w:rPr>
          <w:rFonts w:ascii="宋体" w:hAnsi="宋体"/>
          <w:bCs/>
          <w:kern w:val="0"/>
          <w:highlight w:val="none"/>
        </w:rPr>
        <w:br w:type="page"/>
      </w:r>
    </w:p>
    <w:p>
      <w:pPr>
        <w:adjustRightInd w:val="0"/>
        <w:snapToGrid w:val="0"/>
        <w:spacing w:line="360" w:lineRule="auto"/>
        <w:rPr>
          <w:rFonts w:ascii="宋体" w:hAnsi="宋体"/>
          <w:b/>
          <w:kern w:val="0"/>
          <w:sz w:val="24"/>
          <w:highlight w:val="none"/>
        </w:rPr>
      </w:pPr>
      <w:r>
        <w:rPr>
          <w:rFonts w:hint="eastAsia" w:ascii="宋体" w:hAnsi="宋体"/>
          <w:b/>
          <w:kern w:val="0"/>
          <w:sz w:val="24"/>
          <w:highlight w:val="none"/>
        </w:rPr>
        <w:t>附件1</w:t>
      </w:r>
    </w:p>
    <w:p>
      <w:pPr>
        <w:adjustRightInd w:val="0"/>
        <w:snapToGrid w:val="0"/>
        <w:spacing w:line="360" w:lineRule="auto"/>
        <w:jc w:val="center"/>
        <w:rPr>
          <w:rFonts w:ascii="黑体" w:hAnsi="宋体" w:eastAsia="黑体"/>
          <w:snapToGrid w:val="0"/>
          <w:kern w:val="0"/>
          <w:sz w:val="32"/>
          <w:szCs w:val="32"/>
          <w:highlight w:val="none"/>
        </w:rPr>
      </w:pPr>
      <w:r>
        <w:rPr>
          <w:rFonts w:hint="eastAsia" w:ascii="黑体" w:hAnsi="宋体" w:eastAsia="黑体"/>
          <w:snapToGrid w:val="0"/>
          <w:kern w:val="0"/>
          <w:sz w:val="32"/>
          <w:szCs w:val="32"/>
          <w:highlight w:val="none"/>
        </w:rPr>
        <w:t>项目管理班子人员配备</w:t>
      </w:r>
      <w:r>
        <w:rPr>
          <w:rFonts w:hint="eastAsia" w:ascii="黑体" w:hAnsi="宋体" w:eastAsia="黑体"/>
          <w:snapToGrid w:val="0"/>
          <w:kern w:val="0"/>
          <w:sz w:val="32"/>
          <w:szCs w:val="32"/>
          <w:highlight w:val="none"/>
          <w:lang w:eastAsia="zh-CN"/>
        </w:rPr>
        <w:t>情况表</w:t>
      </w:r>
      <w:r>
        <w:rPr>
          <w:rFonts w:hint="eastAsia" w:ascii="黑体" w:hAnsi="宋体" w:eastAsia="黑体"/>
          <w:snapToGrid w:val="0"/>
          <w:kern w:val="0"/>
          <w:sz w:val="32"/>
          <w:szCs w:val="32"/>
          <w:highlight w:val="none"/>
        </w:rPr>
        <w:t>（与技术标一致）</w:t>
      </w:r>
    </w:p>
    <w:tbl>
      <w:tblPr>
        <w:tblStyle w:val="80"/>
        <w:tblW w:w="9287"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19"/>
        <w:gridCol w:w="1799"/>
        <w:gridCol w:w="520"/>
        <w:gridCol w:w="775"/>
        <w:gridCol w:w="775"/>
        <w:gridCol w:w="775"/>
        <w:gridCol w:w="903"/>
        <w:gridCol w:w="903"/>
        <w:gridCol w:w="1287"/>
        <w:gridCol w:w="103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序</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号</w:t>
            </w:r>
          </w:p>
        </w:tc>
        <w:tc>
          <w:tcPr>
            <w:tcW w:w="1799"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拟任项目机构</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岗位职务</w:t>
            </w:r>
          </w:p>
        </w:tc>
        <w:tc>
          <w:tcPr>
            <w:tcW w:w="520"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姓</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名</w:t>
            </w:r>
          </w:p>
        </w:tc>
        <w:tc>
          <w:tcPr>
            <w:tcW w:w="77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技术</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职称</w:t>
            </w:r>
          </w:p>
        </w:tc>
        <w:tc>
          <w:tcPr>
            <w:tcW w:w="77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专业</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特长</w:t>
            </w:r>
          </w:p>
        </w:tc>
        <w:tc>
          <w:tcPr>
            <w:tcW w:w="77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执业</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资格</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类别</w:t>
            </w:r>
          </w:p>
        </w:tc>
        <w:tc>
          <w:tcPr>
            <w:tcW w:w="90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注册/</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登记</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专业</w:t>
            </w:r>
          </w:p>
        </w:tc>
        <w:tc>
          <w:tcPr>
            <w:tcW w:w="90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注册/</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登记</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证书</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编号</w:t>
            </w:r>
          </w:p>
        </w:tc>
        <w:tc>
          <w:tcPr>
            <w:tcW w:w="1287"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监理服务</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工作年限</w:t>
            </w:r>
          </w:p>
        </w:tc>
        <w:tc>
          <w:tcPr>
            <w:tcW w:w="1031"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进退场</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bl>
    <w:p>
      <w:pPr>
        <w:adjustRightInd w:val="0"/>
        <w:snapToGrid w:val="0"/>
        <w:spacing w:line="360" w:lineRule="auto"/>
        <w:jc w:val="right"/>
        <w:rPr>
          <w:rFonts w:ascii="宋体" w:hAnsi="宋体"/>
          <w:snapToGrid w:val="0"/>
          <w:kern w:val="0"/>
          <w:highlight w:val="none"/>
          <w:u w:val="single"/>
        </w:rPr>
      </w:pPr>
    </w:p>
    <w:p>
      <w:pPr>
        <w:adjustRightInd w:val="0"/>
        <w:snapToGrid w:val="0"/>
        <w:spacing w:line="360" w:lineRule="auto"/>
        <w:jc w:val="right"/>
        <w:rPr>
          <w:rFonts w:ascii="宋体" w:hAnsi="宋体"/>
          <w:snapToGrid w:val="0"/>
          <w:kern w:val="0"/>
          <w:highlight w:val="none"/>
        </w:rPr>
      </w:pPr>
      <w:r>
        <w:rPr>
          <w:rFonts w:ascii="宋体" w:hAnsi="宋体"/>
          <w:snapToGrid w:val="0"/>
          <w:kern w:val="0"/>
          <w:highlight w:val="none"/>
          <w:u w:val="single"/>
        </w:rPr>
        <w:t>_______</w:t>
      </w:r>
      <w:r>
        <w:rPr>
          <w:rFonts w:hint="eastAsia" w:ascii="宋体" w:hAnsi="宋体"/>
          <w:snapToGrid w:val="0"/>
          <w:kern w:val="0"/>
          <w:highlight w:val="none"/>
        </w:rPr>
        <w:t>年</w:t>
      </w:r>
      <w:r>
        <w:rPr>
          <w:rFonts w:ascii="宋体" w:hAnsi="宋体"/>
          <w:snapToGrid w:val="0"/>
          <w:kern w:val="0"/>
          <w:highlight w:val="none"/>
          <w:u w:val="single"/>
        </w:rPr>
        <w:t>____</w:t>
      </w:r>
      <w:r>
        <w:rPr>
          <w:rFonts w:hint="eastAsia" w:ascii="宋体" w:hAnsi="宋体"/>
          <w:snapToGrid w:val="0"/>
          <w:kern w:val="0"/>
          <w:highlight w:val="none"/>
        </w:rPr>
        <w:t>月</w:t>
      </w:r>
      <w:r>
        <w:rPr>
          <w:rFonts w:ascii="宋体" w:hAnsi="宋体"/>
          <w:snapToGrid w:val="0"/>
          <w:kern w:val="0"/>
          <w:highlight w:val="none"/>
          <w:u w:val="single"/>
        </w:rPr>
        <w:t>____</w:t>
      </w:r>
      <w:r>
        <w:rPr>
          <w:rFonts w:hint="eastAsia" w:ascii="宋体" w:hAnsi="宋体"/>
          <w:snapToGrid w:val="0"/>
          <w:kern w:val="0"/>
          <w:highlight w:val="none"/>
        </w:rPr>
        <w:t>日</w:t>
      </w:r>
    </w:p>
    <w:p>
      <w:pPr>
        <w:widowControl/>
        <w:jc w:val="left"/>
        <w:rPr>
          <w:rFonts w:ascii="宋体" w:hAnsi="宋体"/>
          <w:snapToGrid w:val="0"/>
          <w:kern w:val="0"/>
          <w:highlight w:val="none"/>
        </w:rPr>
      </w:pPr>
      <w:r>
        <w:rPr>
          <w:rFonts w:ascii="宋体" w:hAnsi="宋体"/>
          <w:snapToGrid w:val="0"/>
          <w:kern w:val="0"/>
          <w:highlight w:val="none"/>
        </w:rPr>
        <w:br w:type="page"/>
      </w:r>
    </w:p>
    <w:p>
      <w:pPr>
        <w:spacing w:before="180" w:after="180"/>
        <w:jc w:val="center"/>
        <w:rPr>
          <w:rFonts w:ascii="黑体" w:hAnsi="宋体" w:eastAsia="黑体"/>
          <w:sz w:val="32"/>
          <w:szCs w:val="32"/>
          <w:highlight w:val="none"/>
        </w:rPr>
      </w:pPr>
      <w:r>
        <w:rPr>
          <w:rFonts w:hint="eastAsia" w:ascii="黑体" w:hAnsi="宋体" w:eastAsia="黑体"/>
          <w:sz w:val="32"/>
          <w:szCs w:val="32"/>
          <w:highlight w:val="none"/>
        </w:rPr>
        <w:t>投标人派任项目总监简历表</w:t>
      </w:r>
      <w:r>
        <w:rPr>
          <w:rFonts w:hint="eastAsia"/>
          <w:highlight w:val="none"/>
        </w:rPr>
        <w:t>（每个项目只能一个，必填项）</w:t>
      </w:r>
    </w:p>
    <w:tbl>
      <w:tblPr>
        <w:tblStyle w:val="80"/>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80"/>
        <w:gridCol w:w="470"/>
        <w:gridCol w:w="886"/>
        <w:gridCol w:w="1094"/>
        <w:gridCol w:w="2471"/>
        <w:gridCol w:w="970"/>
        <w:gridCol w:w="49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8"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姓名</w:t>
            </w:r>
          </w:p>
        </w:tc>
        <w:tc>
          <w:tcPr>
            <w:tcW w:w="1936" w:type="dxa"/>
            <w:gridSpan w:val="3"/>
            <w:vAlign w:val="center"/>
          </w:tcPr>
          <w:p>
            <w:pPr>
              <w:adjustRightInd w:val="0"/>
              <w:snapToGrid w:val="0"/>
              <w:ind w:left="-107" w:leftChars="-51" w:right="-107" w:rightChars="-51"/>
              <w:rPr>
                <w:rFonts w:ascii="宋体" w:hAnsi="宋体" w:cs="Courier New"/>
                <w:kern w:val="0"/>
                <w:szCs w:val="21"/>
                <w:highlight w:val="none"/>
              </w:rPr>
            </w:pPr>
          </w:p>
        </w:tc>
        <w:tc>
          <w:tcPr>
            <w:tcW w:w="109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性  别</w:t>
            </w:r>
          </w:p>
        </w:tc>
        <w:tc>
          <w:tcPr>
            <w:tcW w:w="2471" w:type="dxa"/>
            <w:vAlign w:val="center"/>
          </w:tcPr>
          <w:p>
            <w:pPr>
              <w:adjustRightInd w:val="0"/>
              <w:snapToGrid w:val="0"/>
              <w:ind w:left="-107" w:leftChars="-51" w:right="-107" w:rightChars="-51"/>
              <w:rPr>
                <w:rFonts w:ascii="宋体" w:hAnsi="宋体" w:cs="Courier New"/>
                <w:kern w:val="0"/>
                <w:szCs w:val="21"/>
                <w:highlight w:val="none"/>
              </w:rPr>
            </w:pPr>
          </w:p>
        </w:tc>
        <w:tc>
          <w:tcPr>
            <w:tcW w:w="970"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年  龄</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8"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职务</w:t>
            </w:r>
          </w:p>
        </w:tc>
        <w:tc>
          <w:tcPr>
            <w:tcW w:w="1936" w:type="dxa"/>
            <w:gridSpan w:val="3"/>
            <w:vAlign w:val="center"/>
          </w:tcPr>
          <w:p>
            <w:pPr>
              <w:adjustRightInd w:val="0"/>
              <w:snapToGrid w:val="0"/>
              <w:ind w:left="-107" w:leftChars="-51" w:right="-107" w:rightChars="-51"/>
              <w:rPr>
                <w:rFonts w:ascii="宋体" w:hAnsi="宋体" w:cs="Courier New"/>
                <w:kern w:val="0"/>
                <w:szCs w:val="21"/>
                <w:highlight w:val="none"/>
              </w:rPr>
            </w:pPr>
          </w:p>
        </w:tc>
        <w:tc>
          <w:tcPr>
            <w:tcW w:w="109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职  称</w:t>
            </w:r>
          </w:p>
        </w:tc>
        <w:tc>
          <w:tcPr>
            <w:tcW w:w="2471" w:type="dxa"/>
            <w:vAlign w:val="center"/>
          </w:tcPr>
          <w:p>
            <w:pPr>
              <w:adjustRightInd w:val="0"/>
              <w:snapToGrid w:val="0"/>
              <w:ind w:left="-107" w:leftChars="-51" w:right="-107" w:rightChars="-51"/>
              <w:rPr>
                <w:rFonts w:ascii="宋体" w:hAnsi="宋体" w:cs="Courier New"/>
                <w:kern w:val="0"/>
                <w:szCs w:val="21"/>
                <w:highlight w:val="none"/>
              </w:rPr>
            </w:pPr>
          </w:p>
        </w:tc>
        <w:tc>
          <w:tcPr>
            <w:tcW w:w="970"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学  历</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8"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证件类型</w:t>
            </w:r>
          </w:p>
        </w:tc>
        <w:tc>
          <w:tcPr>
            <w:tcW w:w="1936" w:type="dxa"/>
            <w:gridSpan w:val="3"/>
            <w:vAlign w:val="center"/>
          </w:tcPr>
          <w:p>
            <w:pPr>
              <w:adjustRightInd w:val="0"/>
              <w:snapToGrid w:val="0"/>
              <w:ind w:left="-107" w:leftChars="-51" w:right="-107" w:rightChars="-51"/>
              <w:rPr>
                <w:rFonts w:ascii="宋体" w:hAnsi="宋体" w:cs="Courier New"/>
                <w:kern w:val="0"/>
                <w:szCs w:val="21"/>
                <w:highlight w:val="none"/>
              </w:rPr>
            </w:pPr>
          </w:p>
        </w:tc>
        <w:tc>
          <w:tcPr>
            <w:tcW w:w="109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证件号码</w:t>
            </w:r>
          </w:p>
        </w:tc>
        <w:tc>
          <w:tcPr>
            <w:tcW w:w="2471" w:type="dxa"/>
            <w:vAlign w:val="center"/>
          </w:tcPr>
          <w:p>
            <w:pPr>
              <w:adjustRightInd w:val="0"/>
              <w:snapToGrid w:val="0"/>
              <w:ind w:left="-107" w:leftChars="-51" w:right="-107" w:rightChars="-51"/>
              <w:rPr>
                <w:rFonts w:ascii="宋体" w:hAnsi="宋体" w:cs="Courier New"/>
                <w:kern w:val="0"/>
                <w:szCs w:val="21"/>
                <w:highlight w:val="none"/>
              </w:rPr>
            </w:pPr>
          </w:p>
        </w:tc>
        <w:tc>
          <w:tcPr>
            <w:tcW w:w="970"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手机号码</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18" w:type="dxa"/>
            <w:gridSpan w:val="3"/>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参加工作时间</w:t>
            </w:r>
          </w:p>
        </w:tc>
        <w:tc>
          <w:tcPr>
            <w:tcW w:w="1980" w:type="dxa"/>
            <w:gridSpan w:val="2"/>
            <w:vAlign w:val="center"/>
          </w:tcPr>
          <w:p>
            <w:pPr>
              <w:adjustRightInd w:val="0"/>
              <w:snapToGrid w:val="0"/>
              <w:ind w:left="-107" w:leftChars="-51" w:right="-107" w:rightChars="-51"/>
              <w:rPr>
                <w:rFonts w:ascii="宋体" w:hAnsi="宋体" w:cs="Courier New"/>
                <w:kern w:val="0"/>
                <w:szCs w:val="21"/>
                <w:highlight w:val="none"/>
              </w:rPr>
            </w:pPr>
          </w:p>
        </w:tc>
        <w:tc>
          <w:tcPr>
            <w:tcW w:w="3441" w:type="dxa"/>
            <w:gridSpan w:val="2"/>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从事项目总监年限</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904" w:type="dxa"/>
            <w:gridSpan w:val="4"/>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项目总监</w:t>
            </w:r>
          </w:p>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资格证书编号</w:t>
            </w:r>
          </w:p>
        </w:tc>
        <w:tc>
          <w:tcPr>
            <w:tcW w:w="6385" w:type="dxa"/>
            <w:gridSpan w:val="5"/>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289" w:type="dxa"/>
            <w:gridSpan w:val="9"/>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建设单位</w:t>
            </w:r>
          </w:p>
        </w:tc>
        <w:tc>
          <w:tcPr>
            <w:tcW w:w="2450" w:type="dxa"/>
            <w:gridSpan w:val="3"/>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项目名称</w:t>
            </w:r>
          </w:p>
          <w:p>
            <w:pPr>
              <w:adjustRightInd w:val="0"/>
              <w:snapToGrid w:val="0"/>
              <w:ind w:left="-107" w:leftChars="-51" w:right="-107" w:rightChars="-51"/>
              <w:jc w:val="center"/>
              <w:rPr>
                <w:rFonts w:ascii="宋体" w:hAnsi="宋体" w:cs="Courier New"/>
                <w:kern w:val="0"/>
                <w:szCs w:val="21"/>
                <w:highlight w:val="none"/>
              </w:rPr>
            </w:pPr>
          </w:p>
        </w:tc>
        <w:tc>
          <w:tcPr>
            <w:tcW w:w="2471"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开、竣工日期</w:t>
            </w:r>
          </w:p>
        </w:tc>
        <w:tc>
          <w:tcPr>
            <w:tcW w:w="1466" w:type="dxa"/>
            <w:gridSpan w:val="2"/>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在建或已完</w:t>
            </w:r>
          </w:p>
        </w:tc>
        <w:tc>
          <w:tcPr>
            <w:tcW w:w="135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bl>
    <w:p>
      <w:pPr>
        <w:widowControl/>
        <w:jc w:val="left"/>
        <w:rPr>
          <w:rFonts w:ascii="宋体" w:hAnsi="宋体"/>
          <w:snapToGrid w:val="0"/>
          <w:kern w:val="0"/>
          <w:highlight w:val="none"/>
        </w:rPr>
      </w:pPr>
      <w:r>
        <w:rPr>
          <w:rFonts w:ascii="宋体" w:hAnsi="宋体"/>
          <w:snapToGrid w:val="0"/>
          <w:kern w:val="0"/>
          <w:highlight w:val="none"/>
        </w:rPr>
        <w:br w:type="page"/>
      </w:r>
    </w:p>
    <w:p>
      <w:pPr>
        <w:widowControl/>
        <w:jc w:val="left"/>
        <w:rPr>
          <w:rFonts w:ascii="宋体" w:hAnsi="宋体"/>
          <w:snapToGrid w:val="0"/>
          <w:kern w:val="0"/>
          <w:highlight w:val="none"/>
        </w:rPr>
      </w:pPr>
    </w:p>
    <w:p>
      <w:pPr>
        <w:adjustRightInd w:val="0"/>
        <w:snapToGrid w:val="0"/>
        <w:spacing w:line="360" w:lineRule="auto"/>
        <w:jc w:val="center"/>
        <w:rPr>
          <w:rFonts w:ascii="黑体" w:hAnsi="宋体" w:eastAsia="黑体"/>
          <w:snapToGrid w:val="0"/>
          <w:kern w:val="0"/>
          <w:sz w:val="32"/>
          <w:szCs w:val="32"/>
          <w:highlight w:val="none"/>
        </w:rPr>
      </w:pPr>
      <w:r>
        <w:rPr>
          <w:rFonts w:hint="eastAsia" w:ascii="黑体" w:hAnsi="宋体" w:eastAsia="黑体"/>
          <w:snapToGrid w:val="0"/>
          <w:kern w:val="0"/>
          <w:sz w:val="32"/>
          <w:szCs w:val="32"/>
          <w:highlight w:val="none"/>
        </w:rPr>
        <w:t>四、投标人拟投入监理仪器、设备计划表（与技术标一致）</w:t>
      </w:r>
    </w:p>
    <w:tbl>
      <w:tblPr>
        <w:tblStyle w:val="8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08"/>
        <w:gridCol w:w="1153"/>
        <w:gridCol w:w="825"/>
        <w:gridCol w:w="825"/>
        <w:gridCol w:w="1153"/>
        <w:gridCol w:w="115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序号</w:t>
            </w:r>
          </w:p>
        </w:tc>
        <w:tc>
          <w:tcPr>
            <w:tcW w:w="2208"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监理仪器设备名称</w:t>
            </w:r>
          </w:p>
        </w:tc>
        <w:tc>
          <w:tcPr>
            <w:tcW w:w="115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规格型号</w:t>
            </w:r>
          </w:p>
        </w:tc>
        <w:tc>
          <w:tcPr>
            <w:tcW w:w="82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单位</w:t>
            </w:r>
          </w:p>
        </w:tc>
        <w:tc>
          <w:tcPr>
            <w:tcW w:w="82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数量</w:t>
            </w:r>
          </w:p>
        </w:tc>
        <w:tc>
          <w:tcPr>
            <w:tcW w:w="115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性能说明</w:t>
            </w:r>
          </w:p>
        </w:tc>
        <w:tc>
          <w:tcPr>
            <w:tcW w:w="115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设备来源</w:t>
            </w:r>
          </w:p>
        </w:tc>
        <w:tc>
          <w:tcPr>
            <w:tcW w:w="1152"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评审</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意见</w:t>
            </w:r>
          </w:p>
        </w:tc>
        <w:tc>
          <w:tcPr>
            <w:tcW w:w="8469" w:type="dxa"/>
            <w:gridSpan w:val="7"/>
            <w:vAlign w:val="center"/>
          </w:tcPr>
          <w:p>
            <w:pPr>
              <w:adjustRightInd w:val="0"/>
              <w:snapToGrid w:val="0"/>
              <w:spacing w:line="360" w:lineRule="auto"/>
              <w:jc w:val="center"/>
              <w:rPr>
                <w:rFonts w:ascii="宋体" w:hAnsi="宋体"/>
                <w:snapToGrid w:val="0"/>
                <w:kern w:val="0"/>
                <w:szCs w:val="21"/>
                <w:highlight w:val="none"/>
              </w:rPr>
            </w:pPr>
          </w:p>
        </w:tc>
      </w:tr>
    </w:tbl>
    <w:p>
      <w:pPr>
        <w:adjustRightInd w:val="0"/>
        <w:snapToGrid w:val="0"/>
        <w:spacing w:line="360" w:lineRule="auto"/>
        <w:jc w:val="left"/>
        <w:rPr>
          <w:rFonts w:ascii="宋体" w:hAnsi="宋体"/>
          <w:snapToGrid w:val="0"/>
          <w:kern w:val="0"/>
          <w:szCs w:val="19"/>
          <w:highlight w:val="none"/>
        </w:rPr>
      </w:pPr>
    </w:p>
    <w:p>
      <w:pPr>
        <w:adjustRightInd w:val="0"/>
        <w:snapToGrid w:val="0"/>
        <w:spacing w:line="360" w:lineRule="auto"/>
        <w:jc w:val="left"/>
        <w:rPr>
          <w:rFonts w:ascii="宋体" w:hAnsi="宋体"/>
          <w:snapToGrid w:val="0"/>
          <w:kern w:val="0"/>
          <w:szCs w:val="19"/>
          <w:highlight w:val="none"/>
        </w:rPr>
      </w:pPr>
      <w:r>
        <w:rPr>
          <w:rFonts w:hint="eastAsia" w:ascii="宋体" w:hAnsi="宋体"/>
          <w:snapToGrid w:val="0"/>
          <w:kern w:val="0"/>
          <w:szCs w:val="19"/>
          <w:highlight w:val="none"/>
        </w:rPr>
        <w:t>特别说明：投标人拟投入的监理仪器、设备，应该是结合本工程实际的施工测量复核和简易的质量实测实量所需的仪器、设备配置。如配置了含有具有工程质量检测资质才能执业使用的仪器、设备，或配置</w:t>
      </w:r>
      <w:r>
        <w:rPr>
          <w:rFonts w:ascii="宋体" w:hAnsi="宋体"/>
          <w:snapToGrid w:val="0"/>
          <w:kern w:val="0"/>
          <w:szCs w:val="19"/>
          <w:highlight w:val="none"/>
        </w:rPr>
        <w:t>了</w:t>
      </w:r>
      <w:r>
        <w:rPr>
          <w:rFonts w:hint="eastAsia" w:ascii="宋体" w:hAnsi="宋体"/>
          <w:snapToGrid w:val="0"/>
          <w:kern w:val="0"/>
          <w:szCs w:val="19"/>
          <w:highlight w:val="none"/>
        </w:rPr>
        <w:t>与施工测量复核和简易的质量实测实量无关的监理</w:t>
      </w:r>
      <w:r>
        <w:rPr>
          <w:rFonts w:ascii="宋体" w:hAnsi="宋体"/>
          <w:snapToGrid w:val="0"/>
          <w:kern w:val="0"/>
          <w:szCs w:val="19"/>
          <w:highlight w:val="none"/>
        </w:rPr>
        <w:t>仪器</w:t>
      </w:r>
      <w:r>
        <w:rPr>
          <w:rFonts w:hint="eastAsia" w:ascii="宋体" w:hAnsi="宋体"/>
          <w:snapToGrid w:val="0"/>
          <w:kern w:val="0"/>
          <w:szCs w:val="19"/>
          <w:highlight w:val="none"/>
        </w:rPr>
        <w:t>设备。评标专家根据工程实际情况对仪器、设备是否满足工作需求提出评审意见。</w:t>
      </w:r>
    </w:p>
    <w:p>
      <w:pPr>
        <w:rPr>
          <w:rFonts w:hint="eastAsia" w:ascii="黑体" w:hAnsi="Times New Roman" w:eastAsia="黑体"/>
          <w:sz w:val="32"/>
          <w:szCs w:val="32"/>
          <w:highlight w:val="none"/>
        </w:rPr>
      </w:pPr>
      <w:bookmarkStart w:id="57" w:name="_Toc1861"/>
      <w:r>
        <w:rPr>
          <w:rFonts w:hint="eastAsia" w:ascii="黑体" w:hAnsi="Times New Roman" w:eastAsia="黑体"/>
          <w:sz w:val="32"/>
          <w:szCs w:val="32"/>
          <w:highlight w:val="none"/>
        </w:rPr>
        <w:br w:type="page"/>
      </w:r>
    </w:p>
    <w:bookmarkEnd w:id="57"/>
    <w:p>
      <w:pPr>
        <w:adjustRightInd w:val="0"/>
        <w:snapToGrid w:val="0"/>
        <w:spacing w:line="360" w:lineRule="auto"/>
        <w:jc w:val="center"/>
        <w:rPr>
          <w:rFonts w:hint="eastAsia" w:ascii="黑体" w:hAnsi="宋体" w:eastAsia="黑体"/>
          <w:snapToGrid w:val="0"/>
          <w:kern w:val="0"/>
          <w:sz w:val="32"/>
          <w:szCs w:val="32"/>
          <w:highlight w:val="none"/>
        </w:rPr>
      </w:pPr>
      <w:r>
        <w:rPr>
          <w:rFonts w:hint="eastAsia" w:ascii="黑体" w:hAnsi="宋体" w:eastAsia="黑体"/>
          <w:snapToGrid w:val="0"/>
          <w:kern w:val="0"/>
          <w:sz w:val="32"/>
          <w:szCs w:val="32"/>
          <w:highlight w:val="none"/>
        </w:rPr>
        <w:t>招标文件要求提交的其他资料</w:t>
      </w:r>
    </w:p>
    <w:p>
      <w:pPr>
        <w:adjustRightInd w:val="0"/>
        <w:snapToGrid w:val="0"/>
        <w:spacing w:line="360" w:lineRule="auto"/>
        <w:jc w:val="left"/>
        <w:rPr>
          <w:rFonts w:ascii="宋体" w:hAnsi="宋体"/>
          <w:b/>
          <w:kern w:val="0"/>
          <w:szCs w:val="44"/>
          <w:highlight w:val="none"/>
        </w:rPr>
      </w:pPr>
      <w:r>
        <w:rPr>
          <w:rFonts w:hint="eastAsia" w:ascii="宋体" w:hAnsi="宋体"/>
          <w:bCs/>
          <w:kern w:val="0"/>
          <w:highlight w:val="none"/>
        </w:rPr>
        <w:t>其他1</w:t>
      </w:r>
      <w:r>
        <w:rPr>
          <w:rFonts w:ascii="宋体" w:hAnsi="宋体"/>
          <w:highlight w:val="none"/>
        </w:rPr>
        <w:br w:type="page"/>
      </w: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ascii="黑体" w:eastAsia="黑体"/>
          <w:bCs/>
          <w:kern w:val="0"/>
          <w:sz w:val="52"/>
          <w:szCs w:val="52"/>
          <w:highlight w:val="none"/>
        </w:rPr>
      </w:pPr>
      <w:bookmarkStart w:id="58" w:name="_Toc23195"/>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w:t>
      </w:r>
      <w:r>
        <w:rPr>
          <w:rFonts w:hint="eastAsia" w:ascii="黑体" w:eastAsia="黑体"/>
          <w:bCs/>
          <w:kern w:val="0"/>
          <w:sz w:val="52"/>
          <w:szCs w:val="52"/>
          <w:highlight w:val="none"/>
          <w:lang w:eastAsia="zh-CN"/>
        </w:rPr>
        <w:t>监理</w:t>
      </w:r>
      <w:r>
        <w:rPr>
          <w:rFonts w:hint="eastAsia" w:ascii="黑体" w:eastAsia="黑体"/>
          <w:bCs/>
          <w:kern w:val="0"/>
          <w:sz w:val="52"/>
          <w:szCs w:val="52"/>
          <w:highlight w:val="none"/>
        </w:rPr>
        <w:t>类招标</w:t>
      </w:r>
      <w:bookmarkEnd w:id="58"/>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59" w:name="_Toc5972"/>
      <w:r>
        <w:rPr>
          <w:rFonts w:hint="eastAsia" w:ascii="黑体" w:eastAsia="黑体"/>
          <w:bCs/>
          <w:kern w:val="0"/>
          <w:sz w:val="52"/>
          <w:szCs w:val="52"/>
          <w:highlight w:val="none"/>
        </w:rPr>
        <w:t>投 标 文 件</w:t>
      </w:r>
      <w:bookmarkEnd w:id="59"/>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投标文件内容：</w:t>
      </w:r>
      <w:r>
        <w:rPr>
          <w:rFonts w:ascii="宋体"/>
          <w:kern w:val="0"/>
          <w:sz w:val="30"/>
          <w:szCs w:val="30"/>
          <w:highlight w:val="none"/>
        </w:rPr>
        <w:t>_______</w:t>
      </w:r>
      <w:r>
        <w:rPr>
          <w:rFonts w:hint="eastAsia" w:ascii="黑体" w:eastAsia="黑体"/>
          <w:kern w:val="0"/>
          <w:sz w:val="30"/>
          <w:szCs w:val="30"/>
          <w:highlight w:val="none"/>
          <w:u w:val="single"/>
          <w:lang w:eastAsia="zh-CN"/>
        </w:rPr>
        <w:t>技术</w:t>
      </w:r>
      <w:r>
        <w:rPr>
          <w:rFonts w:hint="eastAsia" w:ascii="黑体" w:eastAsia="黑体"/>
          <w:kern w:val="0"/>
          <w:sz w:val="30"/>
          <w:szCs w:val="30"/>
          <w:highlight w:val="none"/>
          <w:u w:val="single"/>
        </w:rPr>
        <w:t>标部分</w:t>
      </w:r>
      <w:r>
        <w:rPr>
          <w:rFonts w:ascii="宋体"/>
          <w:kern w:val="0"/>
          <w:sz w:val="30"/>
          <w:szCs w:val="30"/>
          <w:highlight w:val="none"/>
        </w:rPr>
        <w:t>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对所提供资料的真实性、准确性、有效性负全部责任。</w:t>
      </w:r>
      <w:r>
        <w:rPr>
          <w:rFonts w:ascii="宋体" w:hAnsi="宋体"/>
          <w:kern w:val="0"/>
          <w:highlight w:val="none"/>
        </w:rPr>
        <w:br w:type="page"/>
      </w:r>
    </w:p>
    <w:p>
      <w:pPr>
        <w:adjustRightInd w:val="0"/>
        <w:snapToGrid w:val="0"/>
        <w:spacing w:line="360" w:lineRule="auto"/>
        <w:ind w:firstLine="880" w:firstLineChars="200"/>
        <w:jc w:val="center"/>
        <w:rPr>
          <w:rFonts w:hAnsi="宋体"/>
          <w:b/>
          <w:kern w:val="0"/>
          <w:sz w:val="44"/>
          <w:szCs w:val="44"/>
          <w:highlight w:val="none"/>
        </w:rPr>
      </w:pPr>
      <w:r>
        <w:rPr>
          <w:rFonts w:hint="eastAsia" w:hAnsi="宋体"/>
          <w:b/>
          <w:kern w:val="0"/>
          <w:sz w:val="44"/>
          <w:szCs w:val="44"/>
          <w:highlight w:val="none"/>
        </w:rPr>
        <w:t>技术标编写目录及要求</w:t>
      </w:r>
    </w:p>
    <w:p>
      <w:pPr>
        <w:adjustRightInd w:val="0"/>
        <w:snapToGrid w:val="0"/>
        <w:spacing w:line="360" w:lineRule="auto"/>
        <w:ind w:firstLine="420" w:firstLineChars="200"/>
        <w:rPr>
          <w:rFonts w:ascii="宋体" w:hAnsi="宋体"/>
          <w:kern w:val="0"/>
          <w:szCs w:val="21"/>
          <w:highlight w:val="none"/>
        </w:rPr>
      </w:pPr>
    </w:p>
    <w:p>
      <w:pPr>
        <w:adjustRightInd w:val="0"/>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招标人要求投标人编制技术标书的，应在招标文件中明确列出技术标部分目录，包括篇、章、节的标题及主要编制内容。招标人可以限制技术标部分的最高允许页数，超过限制页数的投标文件将被评标委员会在评审时作扣分等处理。</w:t>
      </w:r>
    </w:p>
    <w:p>
      <w:pPr>
        <w:adjustRightInd w:val="0"/>
        <w:snapToGrid w:val="0"/>
        <w:spacing w:line="360" w:lineRule="auto"/>
        <w:jc w:val="center"/>
        <w:rPr>
          <w:rFonts w:ascii="宋体" w:hAnsi="宋体"/>
          <w:kern w:val="0"/>
          <w:sz w:val="32"/>
          <w:highlight w:val="none"/>
        </w:rPr>
      </w:pPr>
    </w:p>
    <w:p>
      <w:pPr>
        <w:adjustRightInd w:val="0"/>
        <w:snapToGrid w:val="0"/>
        <w:spacing w:line="360" w:lineRule="auto"/>
        <w:jc w:val="center"/>
        <w:rPr>
          <w:rFonts w:ascii="宋体"/>
          <w:b/>
          <w:kern w:val="0"/>
          <w:sz w:val="32"/>
          <w:highlight w:val="none"/>
        </w:rPr>
      </w:pPr>
      <w:r>
        <w:rPr>
          <w:rFonts w:hint="eastAsia" w:ascii="宋体"/>
          <w:b/>
          <w:kern w:val="0"/>
          <w:sz w:val="32"/>
          <w:highlight w:val="none"/>
        </w:rPr>
        <w:t>本节编写指南</w:t>
      </w:r>
    </w:p>
    <w:p>
      <w:pPr>
        <w:adjustRightInd w:val="0"/>
        <w:snapToGrid w:val="0"/>
        <w:spacing w:line="360" w:lineRule="auto"/>
        <w:ind w:firstLine="1365" w:firstLineChars="650"/>
        <w:rPr>
          <w:rFonts w:ascii="宋体" w:hAnsi="宋体"/>
          <w:kern w:val="0"/>
          <w:szCs w:val="21"/>
          <w:highlight w:val="none"/>
        </w:rPr>
      </w:pPr>
      <w:r>
        <w:rPr>
          <w:rFonts w:hint="eastAsia" w:ascii="宋体" w:hAnsi="宋体"/>
          <w:kern w:val="0"/>
          <w:szCs w:val="21"/>
          <w:highlight w:val="none"/>
        </w:rPr>
        <w:t>（仅供参考，不作评审依据，技术标需评审的内容详见“评审项目”）</w:t>
      </w:r>
    </w:p>
    <w:p>
      <w:pPr>
        <w:adjustRightInd w:val="0"/>
        <w:snapToGrid w:val="0"/>
        <w:spacing w:line="360" w:lineRule="auto"/>
        <w:ind w:firstLine="1365" w:firstLineChars="650"/>
        <w:rPr>
          <w:rFonts w:ascii="宋体" w:hAnsi="宋体"/>
          <w:kern w:val="0"/>
          <w:szCs w:val="21"/>
          <w:highlight w:val="none"/>
        </w:rPr>
      </w:pPr>
    </w:p>
    <w:p>
      <w:pPr>
        <w:adjustRightInd w:val="0"/>
        <w:snapToGrid w:val="0"/>
        <w:spacing w:line="360" w:lineRule="auto"/>
        <w:rPr>
          <w:rFonts w:ascii="宋体" w:hAnsi="Calibri"/>
          <w:b/>
          <w:kern w:val="0"/>
          <w:szCs w:val="21"/>
          <w:highlight w:val="none"/>
        </w:rPr>
      </w:pPr>
      <w:r>
        <w:rPr>
          <w:rFonts w:hint="eastAsia" w:ascii="宋体" w:hAnsi="Calibri"/>
          <w:b/>
          <w:kern w:val="0"/>
          <w:szCs w:val="21"/>
          <w:highlight w:val="none"/>
        </w:rPr>
        <w:t>第一章  工程概况</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准确概述招标工程的工程特征、主要工程内容和工程现场条件，以及招标人的工程建设目标。</w:t>
      </w:r>
    </w:p>
    <w:p>
      <w:pPr>
        <w:adjustRightInd w:val="0"/>
        <w:snapToGrid w:val="0"/>
        <w:spacing w:line="360" w:lineRule="auto"/>
        <w:rPr>
          <w:rFonts w:ascii="宋体" w:hAnsi="Calibri"/>
          <w:b/>
          <w:kern w:val="0"/>
          <w:szCs w:val="21"/>
          <w:highlight w:val="none"/>
        </w:rPr>
      </w:pPr>
      <w:r>
        <w:rPr>
          <w:rFonts w:hint="eastAsia" w:ascii="宋体" w:hAnsi="Calibri"/>
          <w:b/>
          <w:kern w:val="0"/>
          <w:szCs w:val="21"/>
          <w:highlight w:val="none"/>
        </w:rPr>
        <w:t>第二章  工程特点、工程难点与工程风险</w:t>
      </w:r>
    </w:p>
    <w:p>
      <w:pPr>
        <w:adjustRightInd w:val="0"/>
        <w:snapToGrid w:val="0"/>
        <w:spacing w:line="360" w:lineRule="auto"/>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概述招标工程的工程特点，分析招标工程的工程难点，指出招标工程的工程风险。</w:t>
      </w:r>
    </w:p>
    <w:p>
      <w:pPr>
        <w:adjustRightInd w:val="0"/>
        <w:snapToGrid w:val="0"/>
        <w:spacing w:line="360" w:lineRule="auto"/>
        <w:rPr>
          <w:rFonts w:ascii="宋体" w:hAnsi="Calibri"/>
          <w:b/>
          <w:kern w:val="0"/>
          <w:szCs w:val="21"/>
          <w:highlight w:val="none"/>
        </w:rPr>
      </w:pPr>
      <w:r>
        <w:rPr>
          <w:rFonts w:hint="eastAsia" w:ascii="宋体" w:hAnsi="Calibri"/>
          <w:b/>
          <w:kern w:val="0"/>
          <w:szCs w:val="21"/>
          <w:highlight w:val="none"/>
        </w:rPr>
        <w:t>第三章  针对性的工程监理措施</w:t>
      </w:r>
    </w:p>
    <w:p>
      <w:pPr>
        <w:adjustRightInd w:val="0"/>
        <w:snapToGrid w:val="0"/>
        <w:spacing w:line="360" w:lineRule="auto"/>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根据招标工程的特点、难点与工程风险，结合国家和省、市有关工程监理的相关规定，以及</w:t>
      </w:r>
      <w:r>
        <w:rPr>
          <w:rFonts w:hint="eastAsia" w:ascii="宋体" w:hAnsi="宋体" w:cs="宋体"/>
          <w:snapToGrid w:val="0"/>
          <w:kern w:val="0"/>
          <w:szCs w:val="21"/>
          <w:highlight w:val="none"/>
          <w:lang w:eastAsia="zh-CN"/>
        </w:rPr>
        <w:t>有关</w:t>
      </w:r>
      <w:r>
        <w:rPr>
          <w:rFonts w:hint="eastAsia" w:ascii="宋体" w:hAnsi="宋体" w:cs="宋体"/>
          <w:snapToGrid w:val="0"/>
          <w:kern w:val="0"/>
          <w:szCs w:val="21"/>
          <w:highlight w:val="none"/>
        </w:rPr>
        <w:t>工程监理企业标准化管理规程的具体要求，从确保工程监理品质，满足招标人服务需求出发，围绕下列各方面（前缀带有“□”的由招标人根据需要自主选择），提出针对性强、重点突出的工程监理措施。</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1.工程质量控制；</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2.施工进度控制；</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3.工程投资控制；</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4.安全生产管理的服务活动；</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5.工程合同管理；</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6.信息资料管理；</w:t>
      </w:r>
    </w:p>
    <w:p>
      <w:pPr>
        <w:adjustRightInd w:val="0"/>
        <w:snapToGrid w:val="0"/>
        <w:spacing w:line="360" w:lineRule="auto"/>
        <w:ind w:firstLine="420" w:firstLineChars="200"/>
        <w:jc w:val="left"/>
        <w:rPr>
          <w:rFonts w:ascii="宋体" w:hAnsi="宋体" w:cs="宋体"/>
          <w:snapToGrid w:val="0"/>
          <w:kern w:val="0"/>
          <w:highlight w:val="none"/>
        </w:rPr>
      </w:pPr>
      <w:r>
        <w:rPr>
          <w:rFonts w:hint="eastAsia" w:ascii="宋体" w:hAnsi="宋体" w:cs="宋体"/>
          <w:snapToGrid w:val="0"/>
          <w:kern w:val="0"/>
          <w:highlight w:val="none"/>
        </w:rPr>
        <w:t>7.相关方关系协调；</w:t>
      </w:r>
    </w:p>
    <w:p>
      <w:pPr>
        <w:adjustRightInd w:val="0"/>
        <w:snapToGrid w:val="0"/>
        <w:spacing w:line="360" w:lineRule="auto"/>
        <w:ind w:firstLine="420" w:firstLineChars="200"/>
        <w:jc w:val="left"/>
        <w:rPr>
          <w:rFonts w:ascii="宋体" w:hAnsi="宋体" w:cs="宋体"/>
          <w:snapToGrid w:val="0"/>
          <w:kern w:val="0"/>
          <w:highlight w:val="none"/>
        </w:rPr>
      </w:pPr>
      <w:bookmarkStart w:id="60" w:name="_Toc22356"/>
      <w:bookmarkStart w:id="61" w:name="_Toc12139"/>
      <w:r>
        <w:rPr>
          <w:rFonts w:hint="eastAsia" w:ascii="宋体" w:hAnsi="宋体" w:cs="宋体"/>
          <w:snapToGrid w:val="0"/>
          <w:kern w:val="0"/>
          <w:szCs w:val="21"/>
          <w:highlight w:val="none"/>
        </w:rPr>
        <w:sym w:font="Wingdings 2" w:char="00A3"/>
      </w:r>
      <w:r>
        <w:rPr>
          <w:rFonts w:hint="eastAsia" w:ascii="宋体" w:hAnsi="宋体" w:cs="宋体"/>
          <w:snapToGrid w:val="0"/>
          <w:kern w:val="0"/>
          <w:highlight w:val="none"/>
        </w:rPr>
        <w:t>8.BIM建筑信息模型、建筑工业化等新型技术的应用和管理。</w:t>
      </w:r>
      <w:bookmarkEnd w:id="60"/>
      <w:bookmarkEnd w:id="61"/>
    </w:p>
    <w:p>
      <w:pPr>
        <w:widowControl/>
        <w:jc w:val="left"/>
        <w:rPr>
          <w:rFonts w:ascii="宋体" w:hAnsi="宋体" w:cs="宋体"/>
          <w:snapToGrid w:val="0"/>
          <w:kern w:val="0"/>
          <w:highlight w:val="none"/>
        </w:rPr>
      </w:pPr>
      <w:r>
        <w:rPr>
          <w:rFonts w:ascii="宋体" w:hAnsi="宋体" w:cs="宋体"/>
          <w:snapToGrid w:val="0"/>
          <w:kern w:val="0"/>
          <w:highlight w:val="none"/>
        </w:rPr>
        <w:br w:type="page"/>
      </w:r>
    </w:p>
    <w:p>
      <w:pPr>
        <w:adjustRightInd w:val="0"/>
        <w:snapToGrid w:val="0"/>
        <w:spacing w:line="360" w:lineRule="auto"/>
        <w:jc w:val="center"/>
        <w:rPr>
          <w:rFonts w:ascii="黑体" w:hAnsi="宋体" w:eastAsia="黑体"/>
          <w:snapToGrid w:val="0"/>
          <w:kern w:val="0"/>
          <w:sz w:val="32"/>
          <w:szCs w:val="32"/>
          <w:highlight w:val="none"/>
        </w:rPr>
      </w:pPr>
      <w:r>
        <w:rPr>
          <w:rFonts w:hint="eastAsia" w:ascii="黑体" w:hAnsi="宋体" w:eastAsia="黑体"/>
          <w:snapToGrid w:val="0"/>
          <w:kern w:val="0"/>
          <w:sz w:val="32"/>
          <w:szCs w:val="32"/>
          <w:highlight w:val="none"/>
        </w:rPr>
        <w:t>三、项目管理班子人员配备</w:t>
      </w:r>
    </w:p>
    <w:tbl>
      <w:tblPr>
        <w:tblStyle w:val="80"/>
        <w:tblW w:w="9287"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19"/>
        <w:gridCol w:w="1799"/>
        <w:gridCol w:w="520"/>
        <w:gridCol w:w="775"/>
        <w:gridCol w:w="775"/>
        <w:gridCol w:w="775"/>
        <w:gridCol w:w="903"/>
        <w:gridCol w:w="903"/>
        <w:gridCol w:w="1287"/>
        <w:gridCol w:w="103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序</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号</w:t>
            </w:r>
          </w:p>
        </w:tc>
        <w:tc>
          <w:tcPr>
            <w:tcW w:w="1799"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拟任项目机构</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岗位职务</w:t>
            </w:r>
          </w:p>
        </w:tc>
        <w:tc>
          <w:tcPr>
            <w:tcW w:w="520"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姓</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名</w:t>
            </w:r>
          </w:p>
        </w:tc>
        <w:tc>
          <w:tcPr>
            <w:tcW w:w="77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技术</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职称</w:t>
            </w:r>
          </w:p>
        </w:tc>
        <w:tc>
          <w:tcPr>
            <w:tcW w:w="77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专业</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特长</w:t>
            </w:r>
          </w:p>
        </w:tc>
        <w:tc>
          <w:tcPr>
            <w:tcW w:w="77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执业</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资格</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类别</w:t>
            </w:r>
          </w:p>
        </w:tc>
        <w:tc>
          <w:tcPr>
            <w:tcW w:w="90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注册/</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登记</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专业</w:t>
            </w:r>
          </w:p>
        </w:tc>
        <w:tc>
          <w:tcPr>
            <w:tcW w:w="90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注册/</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登记</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证书</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编号</w:t>
            </w:r>
          </w:p>
        </w:tc>
        <w:tc>
          <w:tcPr>
            <w:tcW w:w="1287"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监理服务</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工作年限</w:t>
            </w:r>
          </w:p>
        </w:tc>
        <w:tc>
          <w:tcPr>
            <w:tcW w:w="1031"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进退场</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519" w:type="dxa"/>
            <w:vAlign w:val="center"/>
          </w:tcPr>
          <w:p>
            <w:pPr>
              <w:adjustRightInd w:val="0"/>
              <w:snapToGrid w:val="0"/>
              <w:spacing w:line="360" w:lineRule="auto"/>
              <w:jc w:val="center"/>
              <w:rPr>
                <w:rFonts w:ascii="宋体" w:hAnsi="宋体"/>
                <w:snapToGrid w:val="0"/>
                <w:kern w:val="0"/>
                <w:szCs w:val="21"/>
                <w:highlight w:val="none"/>
              </w:rPr>
            </w:pPr>
          </w:p>
        </w:tc>
        <w:tc>
          <w:tcPr>
            <w:tcW w:w="1799" w:type="dxa"/>
            <w:vAlign w:val="center"/>
          </w:tcPr>
          <w:p>
            <w:pPr>
              <w:adjustRightInd w:val="0"/>
              <w:snapToGrid w:val="0"/>
              <w:spacing w:line="360" w:lineRule="auto"/>
              <w:jc w:val="center"/>
              <w:rPr>
                <w:rFonts w:ascii="宋体" w:hAnsi="宋体"/>
                <w:snapToGrid w:val="0"/>
                <w:kern w:val="0"/>
                <w:szCs w:val="21"/>
                <w:highlight w:val="none"/>
              </w:rPr>
            </w:pPr>
          </w:p>
        </w:tc>
        <w:tc>
          <w:tcPr>
            <w:tcW w:w="520"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775"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903" w:type="dxa"/>
            <w:vAlign w:val="center"/>
          </w:tcPr>
          <w:p>
            <w:pPr>
              <w:adjustRightInd w:val="0"/>
              <w:snapToGrid w:val="0"/>
              <w:spacing w:line="360" w:lineRule="auto"/>
              <w:jc w:val="center"/>
              <w:rPr>
                <w:rFonts w:ascii="宋体" w:hAnsi="宋体"/>
                <w:snapToGrid w:val="0"/>
                <w:kern w:val="0"/>
                <w:szCs w:val="21"/>
                <w:highlight w:val="none"/>
              </w:rPr>
            </w:pPr>
          </w:p>
        </w:tc>
        <w:tc>
          <w:tcPr>
            <w:tcW w:w="1287" w:type="dxa"/>
            <w:vAlign w:val="center"/>
          </w:tcPr>
          <w:p>
            <w:pPr>
              <w:adjustRightInd w:val="0"/>
              <w:snapToGrid w:val="0"/>
              <w:spacing w:line="360" w:lineRule="auto"/>
              <w:jc w:val="center"/>
              <w:rPr>
                <w:rFonts w:ascii="宋体" w:hAnsi="宋体"/>
                <w:snapToGrid w:val="0"/>
                <w:kern w:val="0"/>
                <w:szCs w:val="21"/>
                <w:highlight w:val="none"/>
              </w:rPr>
            </w:pPr>
          </w:p>
        </w:tc>
        <w:tc>
          <w:tcPr>
            <w:tcW w:w="1031" w:type="dxa"/>
            <w:vAlign w:val="center"/>
          </w:tcPr>
          <w:p>
            <w:pPr>
              <w:adjustRightInd w:val="0"/>
              <w:snapToGrid w:val="0"/>
              <w:spacing w:line="360" w:lineRule="auto"/>
              <w:jc w:val="center"/>
              <w:rPr>
                <w:rFonts w:ascii="宋体" w:hAnsi="宋体"/>
                <w:snapToGrid w:val="0"/>
                <w:kern w:val="0"/>
                <w:szCs w:val="21"/>
                <w:highlight w:val="none"/>
              </w:rPr>
            </w:pPr>
          </w:p>
        </w:tc>
      </w:tr>
    </w:tbl>
    <w:p>
      <w:pPr>
        <w:adjustRightInd w:val="0"/>
        <w:snapToGrid w:val="0"/>
        <w:spacing w:line="360" w:lineRule="auto"/>
        <w:jc w:val="right"/>
        <w:rPr>
          <w:rFonts w:ascii="宋体" w:hAnsi="宋体"/>
          <w:snapToGrid w:val="0"/>
          <w:kern w:val="0"/>
          <w:highlight w:val="none"/>
          <w:u w:val="single"/>
        </w:rPr>
      </w:pPr>
    </w:p>
    <w:p>
      <w:pPr>
        <w:adjustRightInd w:val="0"/>
        <w:snapToGrid w:val="0"/>
        <w:spacing w:line="360" w:lineRule="auto"/>
        <w:jc w:val="right"/>
        <w:rPr>
          <w:rFonts w:ascii="宋体" w:hAnsi="宋体"/>
          <w:snapToGrid w:val="0"/>
          <w:kern w:val="0"/>
          <w:highlight w:val="none"/>
        </w:rPr>
      </w:pPr>
      <w:r>
        <w:rPr>
          <w:rFonts w:ascii="宋体" w:hAnsi="宋体"/>
          <w:snapToGrid w:val="0"/>
          <w:kern w:val="0"/>
          <w:highlight w:val="none"/>
          <w:u w:val="single"/>
        </w:rPr>
        <w:t>_______</w:t>
      </w:r>
      <w:r>
        <w:rPr>
          <w:rFonts w:hint="eastAsia" w:ascii="宋体" w:hAnsi="宋体"/>
          <w:snapToGrid w:val="0"/>
          <w:kern w:val="0"/>
          <w:highlight w:val="none"/>
        </w:rPr>
        <w:t>年</w:t>
      </w:r>
      <w:r>
        <w:rPr>
          <w:rFonts w:ascii="宋体" w:hAnsi="宋体"/>
          <w:snapToGrid w:val="0"/>
          <w:kern w:val="0"/>
          <w:highlight w:val="none"/>
          <w:u w:val="single"/>
        </w:rPr>
        <w:t>____</w:t>
      </w:r>
      <w:r>
        <w:rPr>
          <w:rFonts w:hint="eastAsia" w:ascii="宋体" w:hAnsi="宋体"/>
          <w:snapToGrid w:val="0"/>
          <w:kern w:val="0"/>
          <w:highlight w:val="none"/>
        </w:rPr>
        <w:t>月</w:t>
      </w:r>
      <w:r>
        <w:rPr>
          <w:rFonts w:ascii="宋体" w:hAnsi="宋体"/>
          <w:snapToGrid w:val="0"/>
          <w:kern w:val="0"/>
          <w:highlight w:val="none"/>
          <w:u w:val="single"/>
        </w:rPr>
        <w:t>____</w:t>
      </w:r>
      <w:r>
        <w:rPr>
          <w:rFonts w:hint="eastAsia" w:ascii="宋体" w:hAnsi="宋体"/>
          <w:snapToGrid w:val="0"/>
          <w:kern w:val="0"/>
          <w:highlight w:val="none"/>
        </w:rPr>
        <w:t>日</w:t>
      </w: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adjustRightInd w:val="0"/>
        <w:snapToGrid w:val="0"/>
        <w:spacing w:line="360" w:lineRule="auto"/>
        <w:jc w:val="center"/>
        <w:rPr>
          <w:snapToGrid w:val="0"/>
          <w:kern w:val="0"/>
          <w:highlight w:val="none"/>
        </w:rPr>
      </w:pPr>
    </w:p>
    <w:p>
      <w:pPr>
        <w:spacing w:before="180" w:after="180"/>
        <w:jc w:val="center"/>
        <w:rPr>
          <w:rFonts w:ascii="黑体" w:hAnsi="宋体" w:eastAsia="黑体"/>
          <w:sz w:val="32"/>
          <w:szCs w:val="32"/>
          <w:highlight w:val="none"/>
        </w:rPr>
      </w:pPr>
      <w:r>
        <w:rPr>
          <w:rFonts w:hint="eastAsia" w:ascii="黑体" w:hAnsi="宋体" w:eastAsia="黑体"/>
          <w:sz w:val="32"/>
          <w:szCs w:val="32"/>
          <w:highlight w:val="none"/>
        </w:rPr>
        <w:t>投标人派任项目总监简历表</w:t>
      </w:r>
      <w:r>
        <w:rPr>
          <w:rFonts w:hint="eastAsia"/>
          <w:highlight w:val="none"/>
        </w:rPr>
        <w:t>（每个项目只能一个，必填项）</w:t>
      </w:r>
    </w:p>
    <w:tbl>
      <w:tblPr>
        <w:tblStyle w:val="80"/>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80"/>
        <w:gridCol w:w="470"/>
        <w:gridCol w:w="886"/>
        <w:gridCol w:w="1094"/>
        <w:gridCol w:w="2471"/>
        <w:gridCol w:w="970"/>
        <w:gridCol w:w="49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8"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姓名</w:t>
            </w:r>
          </w:p>
        </w:tc>
        <w:tc>
          <w:tcPr>
            <w:tcW w:w="1936" w:type="dxa"/>
            <w:gridSpan w:val="3"/>
            <w:vAlign w:val="center"/>
          </w:tcPr>
          <w:p>
            <w:pPr>
              <w:adjustRightInd w:val="0"/>
              <w:snapToGrid w:val="0"/>
              <w:ind w:left="-107" w:leftChars="-51" w:right="-107" w:rightChars="-51"/>
              <w:rPr>
                <w:rFonts w:ascii="宋体" w:hAnsi="宋体" w:cs="Courier New"/>
                <w:kern w:val="0"/>
                <w:szCs w:val="21"/>
                <w:highlight w:val="none"/>
              </w:rPr>
            </w:pPr>
          </w:p>
        </w:tc>
        <w:tc>
          <w:tcPr>
            <w:tcW w:w="109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性  别</w:t>
            </w:r>
          </w:p>
        </w:tc>
        <w:tc>
          <w:tcPr>
            <w:tcW w:w="2471" w:type="dxa"/>
            <w:vAlign w:val="center"/>
          </w:tcPr>
          <w:p>
            <w:pPr>
              <w:adjustRightInd w:val="0"/>
              <w:snapToGrid w:val="0"/>
              <w:ind w:left="-107" w:leftChars="-51" w:right="-107" w:rightChars="-51"/>
              <w:rPr>
                <w:rFonts w:ascii="宋体" w:hAnsi="宋体" w:cs="Courier New"/>
                <w:kern w:val="0"/>
                <w:szCs w:val="21"/>
                <w:highlight w:val="none"/>
              </w:rPr>
            </w:pPr>
          </w:p>
        </w:tc>
        <w:tc>
          <w:tcPr>
            <w:tcW w:w="970"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年  龄</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8"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职务</w:t>
            </w:r>
          </w:p>
        </w:tc>
        <w:tc>
          <w:tcPr>
            <w:tcW w:w="1936" w:type="dxa"/>
            <w:gridSpan w:val="3"/>
            <w:vAlign w:val="center"/>
          </w:tcPr>
          <w:p>
            <w:pPr>
              <w:adjustRightInd w:val="0"/>
              <w:snapToGrid w:val="0"/>
              <w:ind w:left="-107" w:leftChars="-51" w:right="-107" w:rightChars="-51"/>
              <w:rPr>
                <w:rFonts w:ascii="宋体" w:hAnsi="宋体" w:cs="Courier New"/>
                <w:kern w:val="0"/>
                <w:szCs w:val="21"/>
                <w:highlight w:val="none"/>
              </w:rPr>
            </w:pPr>
          </w:p>
        </w:tc>
        <w:tc>
          <w:tcPr>
            <w:tcW w:w="109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职  称</w:t>
            </w:r>
          </w:p>
        </w:tc>
        <w:tc>
          <w:tcPr>
            <w:tcW w:w="2471" w:type="dxa"/>
            <w:vAlign w:val="center"/>
          </w:tcPr>
          <w:p>
            <w:pPr>
              <w:adjustRightInd w:val="0"/>
              <w:snapToGrid w:val="0"/>
              <w:ind w:left="-107" w:leftChars="-51" w:right="-107" w:rightChars="-51"/>
              <w:rPr>
                <w:rFonts w:ascii="宋体" w:hAnsi="宋体" w:cs="Courier New"/>
                <w:kern w:val="0"/>
                <w:szCs w:val="21"/>
                <w:highlight w:val="none"/>
              </w:rPr>
            </w:pPr>
          </w:p>
        </w:tc>
        <w:tc>
          <w:tcPr>
            <w:tcW w:w="970"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学  历</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68"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证件类型</w:t>
            </w:r>
          </w:p>
        </w:tc>
        <w:tc>
          <w:tcPr>
            <w:tcW w:w="1936" w:type="dxa"/>
            <w:gridSpan w:val="3"/>
            <w:vAlign w:val="center"/>
          </w:tcPr>
          <w:p>
            <w:pPr>
              <w:adjustRightInd w:val="0"/>
              <w:snapToGrid w:val="0"/>
              <w:ind w:left="-107" w:leftChars="-51" w:right="-107" w:rightChars="-51"/>
              <w:rPr>
                <w:rFonts w:ascii="宋体" w:hAnsi="宋体" w:cs="Courier New"/>
                <w:kern w:val="0"/>
                <w:szCs w:val="21"/>
                <w:highlight w:val="none"/>
              </w:rPr>
            </w:pPr>
          </w:p>
        </w:tc>
        <w:tc>
          <w:tcPr>
            <w:tcW w:w="109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证件号码</w:t>
            </w:r>
          </w:p>
        </w:tc>
        <w:tc>
          <w:tcPr>
            <w:tcW w:w="2471" w:type="dxa"/>
            <w:vAlign w:val="center"/>
          </w:tcPr>
          <w:p>
            <w:pPr>
              <w:adjustRightInd w:val="0"/>
              <w:snapToGrid w:val="0"/>
              <w:ind w:left="-107" w:leftChars="-51" w:right="-107" w:rightChars="-51"/>
              <w:rPr>
                <w:rFonts w:ascii="宋体" w:hAnsi="宋体" w:cs="Courier New"/>
                <w:kern w:val="0"/>
                <w:szCs w:val="21"/>
                <w:highlight w:val="none"/>
              </w:rPr>
            </w:pPr>
          </w:p>
        </w:tc>
        <w:tc>
          <w:tcPr>
            <w:tcW w:w="970"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手机号码</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18" w:type="dxa"/>
            <w:gridSpan w:val="3"/>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参加工作时间</w:t>
            </w:r>
          </w:p>
        </w:tc>
        <w:tc>
          <w:tcPr>
            <w:tcW w:w="1980" w:type="dxa"/>
            <w:gridSpan w:val="2"/>
            <w:vAlign w:val="center"/>
          </w:tcPr>
          <w:p>
            <w:pPr>
              <w:adjustRightInd w:val="0"/>
              <w:snapToGrid w:val="0"/>
              <w:ind w:left="-107" w:leftChars="-51" w:right="-107" w:rightChars="-51"/>
              <w:rPr>
                <w:rFonts w:ascii="宋体" w:hAnsi="宋体" w:cs="Courier New"/>
                <w:kern w:val="0"/>
                <w:szCs w:val="21"/>
                <w:highlight w:val="none"/>
              </w:rPr>
            </w:pPr>
          </w:p>
        </w:tc>
        <w:tc>
          <w:tcPr>
            <w:tcW w:w="3441" w:type="dxa"/>
            <w:gridSpan w:val="2"/>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从事项目总监年限</w:t>
            </w:r>
          </w:p>
        </w:tc>
        <w:tc>
          <w:tcPr>
            <w:tcW w:w="1850" w:type="dxa"/>
            <w:gridSpan w:val="2"/>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904" w:type="dxa"/>
            <w:gridSpan w:val="4"/>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项目总监</w:t>
            </w:r>
          </w:p>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资格证书编号</w:t>
            </w:r>
          </w:p>
        </w:tc>
        <w:tc>
          <w:tcPr>
            <w:tcW w:w="6385" w:type="dxa"/>
            <w:gridSpan w:val="5"/>
            <w:vAlign w:val="center"/>
          </w:tcPr>
          <w:p>
            <w:pPr>
              <w:adjustRightInd w:val="0"/>
              <w:snapToGrid w:val="0"/>
              <w:ind w:left="-107" w:leftChars="-51" w:right="-107" w:rightChars="-51"/>
              <w:rPr>
                <w:rFonts w:ascii="宋体" w:hAnsi="宋体" w:cs="Courier New"/>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289" w:type="dxa"/>
            <w:gridSpan w:val="9"/>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建设单位</w:t>
            </w:r>
          </w:p>
        </w:tc>
        <w:tc>
          <w:tcPr>
            <w:tcW w:w="2450" w:type="dxa"/>
            <w:gridSpan w:val="3"/>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项目名称</w:t>
            </w:r>
          </w:p>
          <w:p>
            <w:pPr>
              <w:adjustRightInd w:val="0"/>
              <w:snapToGrid w:val="0"/>
              <w:ind w:left="-107" w:leftChars="-51" w:right="-107" w:rightChars="-51"/>
              <w:jc w:val="both"/>
              <w:rPr>
                <w:rFonts w:ascii="宋体" w:hAnsi="宋体" w:cs="Courier New"/>
                <w:kern w:val="0"/>
                <w:szCs w:val="21"/>
                <w:highlight w:val="none"/>
              </w:rPr>
            </w:pPr>
          </w:p>
        </w:tc>
        <w:tc>
          <w:tcPr>
            <w:tcW w:w="2471"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开、竣工日期</w:t>
            </w:r>
          </w:p>
        </w:tc>
        <w:tc>
          <w:tcPr>
            <w:tcW w:w="1466" w:type="dxa"/>
            <w:gridSpan w:val="2"/>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在建或已完</w:t>
            </w:r>
          </w:p>
        </w:tc>
        <w:tc>
          <w:tcPr>
            <w:tcW w:w="1354" w:type="dxa"/>
            <w:vAlign w:val="center"/>
          </w:tcPr>
          <w:p>
            <w:pPr>
              <w:adjustRightInd w:val="0"/>
              <w:snapToGrid w:val="0"/>
              <w:ind w:left="-107" w:leftChars="-51" w:right="-107" w:rightChars="-51"/>
              <w:jc w:val="center"/>
              <w:rPr>
                <w:rFonts w:ascii="宋体" w:hAnsi="宋体" w:cs="Courier New"/>
                <w:kern w:val="0"/>
                <w:szCs w:val="21"/>
                <w:highlight w:val="none"/>
              </w:rPr>
            </w:pPr>
            <w:r>
              <w:rPr>
                <w:rFonts w:hint="eastAsia" w:ascii="宋体" w:hAnsi="宋体" w:cs="Courier New"/>
                <w:kern w:val="0"/>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8" w:type="dxa"/>
            <w:gridSpan w:val="2"/>
            <w:vAlign w:val="center"/>
          </w:tcPr>
          <w:p>
            <w:pPr>
              <w:adjustRightInd w:val="0"/>
              <w:snapToGrid w:val="0"/>
              <w:spacing w:line="360" w:lineRule="auto"/>
              <w:rPr>
                <w:rFonts w:ascii="宋体" w:hAnsi="宋体" w:cs="Courier New"/>
                <w:kern w:val="0"/>
                <w:sz w:val="24"/>
                <w:highlight w:val="none"/>
              </w:rPr>
            </w:pPr>
          </w:p>
        </w:tc>
        <w:tc>
          <w:tcPr>
            <w:tcW w:w="2450" w:type="dxa"/>
            <w:gridSpan w:val="3"/>
            <w:vAlign w:val="center"/>
          </w:tcPr>
          <w:p>
            <w:pPr>
              <w:adjustRightInd w:val="0"/>
              <w:snapToGrid w:val="0"/>
              <w:spacing w:line="360" w:lineRule="auto"/>
              <w:rPr>
                <w:rFonts w:ascii="宋体" w:hAnsi="宋体" w:cs="Courier New"/>
                <w:kern w:val="0"/>
                <w:sz w:val="24"/>
                <w:highlight w:val="none"/>
              </w:rPr>
            </w:pPr>
          </w:p>
        </w:tc>
        <w:tc>
          <w:tcPr>
            <w:tcW w:w="2471" w:type="dxa"/>
            <w:vAlign w:val="center"/>
          </w:tcPr>
          <w:p>
            <w:pPr>
              <w:adjustRightInd w:val="0"/>
              <w:snapToGrid w:val="0"/>
              <w:spacing w:line="360" w:lineRule="auto"/>
              <w:rPr>
                <w:rFonts w:ascii="宋体" w:hAnsi="宋体" w:cs="Courier New"/>
                <w:kern w:val="0"/>
                <w:sz w:val="24"/>
                <w:highlight w:val="none"/>
              </w:rPr>
            </w:pPr>
          </w:p>
        </w:tc>
        <w:tc>
          <w:tcPr>
            <w:tcW w:w="1466" w:type="dxa"/>
            <w:gridSpan w:val="2"/>
            <w:vAlign w:val="center"/>
          </w:tcPr>
          <w:p>
            <w:pPr>
              <w:adjustRightInd w:val="0"/>
              <w:snapToGrid w:val="0"/>
              <w:spacing w:line="360" w:lineRule="auto"/>
              <w:rPr>
                <w:rFonts w:ascii="宋体" w:hAnsi="宋体" w:cs="Courier New"/>
                <w:kern w:val="0"/>
                <w:sz w:val="24"/>
                <w:highlight w:val="none"/>
              </w:rPr>
            </w:pPr>
          </w:p>
        </w:tc>
        <w:tc>
          <w:tcPr>
            <w:tcW w:w="1354" w:type="dxa"/>
            <w:vAlign w:val="center"/>
          </w:tcPr>
          <w:p>
            <w:pPr>
              <w:adjustRightInd w:val="0"/>
              <w:snapToGrid w:val="0"/>
              <w:spacing w:line="360" w:lineRule="auto"/>
              <w:rPr>
                <w:rFonts w:ascii="宋体" w:hAnsi="宋体" w:cs="Courier New"/>
                <w:kern w:val="0"/>
                <w:sz w:val="24"/>
                <w:highlight w:val="none"/>
              </w:rPr>
            </w:pPr>
          </w:p>
        </w:tc>
      </w:tr>
    </w:tbl>
    <w:p>
      <w:pPr>
        <w:widowControl/>
        <w:spacing w:line="20" w:lineRule="exact"/>
        <w:jc w:val="left"/>
        <w:rPr>
          <w:rFonts w:ascii="宋体"/>
          <w:highlight w:val="none"/>
        </w:rPr>
      </w:pPr>
    </w:p>
    <w:p>
      <w:pPr>
        <w:widowControl/>
        <w:spacing w:line="20" w:lineRule="exact"/>
        <w:jc w:val="left"/>
        <w:rPr>
          <w:rFonts w:ascii="宋体"/>
          <w:highlight w:val="none"/>
        </w:rPr>
      </w:pPr>
    </w:p>
    <w:p>
      <w:pPr>
        <w:widowControl/>
        <w:spacing w:line="20" w:lineRule="exact"/>
        <w:jc w:val="left"/>
        <w:rPr>
          <w:rFonts w:ascii="宋体"/>
          <w:highlight w:val="none"/>
        </w:rPr>
      </w:pPr>
    </w:p>
    <w:p>
      <w:pPr>
        <w:widowControl/>
        <w:spacing w:line="20" w:lineRule="exact"/>
        <w:jc w:val="left"/>
        <w:rPr>
          <w:rFonts w:ascii="宋体"/>
          <w:highlight w:val="none"/>
        </w:rPr>
      </w:pPr>
    </w:p>
    <w:p>
      <w:pPr>
        <w:widowControl/>
        <w:spacing w:line="20" w:lineRule="exact"/>
        <w:jc w:val="left"/>
        <w:rPr>
          <w:rFonts w:ascii="宋体"/>
          <w:highlight w:val="none"/>
        </w:rPr>
      </w:pPr>
    </w:p>
    <w:p>
      <w:pPr>
        <w:widowControl/>
        <w:spacing w:line="20" w:lineRule="exact"/>
        <w:jc w:val="left"/>
        <w:rPr>
          <w:rFonts w:ascii="宋体"/>
          <w:highlight w:val="none"/>
        </w:rPr>
      </w:pPr>
    </w:p>
    <w:p>
      <w:pPr>
        <w:adjustRightInd w:val="0"/>
        <w:snapToGrid w:val="0"/>
        <w:spacing w:line="360" w:lineRule="auto"/>
        <w:jc w:val="center"/>
        <w:rPr>
          <w:snapToGrid w:val="0"/>
          <w:kern w:val="0"/>
          <w:highlight w:val="none"/>
        </w:rPr>
      </w:pPr>
    </w:p>
    <w:p>
      <w:pPr>
        <w:adjustRightInd w:val="0"/>
        <w:snapToGrid w:val="0"/>
        <w:spacing w:line="360" w:lineRule="auto"/>
        <w:rPr>
          <w:rFonts w:ascii="黑体" w:hAnsi="宋体" w:eastAsia="黑体"/>
          <w:snapToGrid w:val="0"/>
          <w:kern w:val="0"/>
          <w:sz w:val="32"/>
          <w:szCs w:val="32"/>
          <w:highlight w:val="none"/>
        </w:rPr>
      </w:pPr>
    </w:p>
    <w:p>
      <w:pPr>
        <w:adjustRightInd w:val="0"/>
        <w:snapToGrid w:val="0"/>
        <w:spacing w:line="360" w:lineRule="auto"/>
        <w:rPr>
          <w:rFonts w:ascii="黑体" w:hAnsi="宋体" w:eastAsia="黑体"/>
          <w:snapToGrid w:val="0"/>
          <w:kern w:val="0"/>
          <w:sz w:val="32"/>
          <w:szCs w:val="32"/>
          <w:highlight w:val="none"/>
        </w:rPr>
      </w:pPr>
    </w:p>
    <w:p>
      <w:pPr>
        <w:rPr>
          <w:rFonts w:hint="eastAsia" w:ascii="黑体" w:hAnsi="宋体" w:eastAsia="黑体"/>
          <w:snapToGrid w:val="0"/>
          <w:kern w:val="0"/>
          <w:sz w:val="32"/>
          <w:szCs w:val="32"/>
          <w:highlight w:val="none"/>
        </w:rPr>
      </w:pPr>
      <w:r>
        <w:rPr>
          <w:rFonts w:hint="eastAsia" w:ascii="黑体" w:hAnsi="宋体" w:eastAsia="黑体"/>
          <w:snapToGrid w:val="0"/>
          <w:kern w:val="0"/>
          <w:sz w:val="32"/>
          <w:szCs w:val="32"/>
          <w:highlight w:val="none"/>
        </w:rPr>
        <w:br w:type="page"/>
      </w:r>
    </w:p>
    <w:p>
      <w:pPr>
        <w:adjustRightInd w:val="0"/>
        <w:snapToGrid w:val="0"/>
        <w:spacing w:line="360" w:lineRule="auto"/>
        <w:jc w:val="center"/>
        <w:rPr>
          <w:rFonts w:ascii="黑体" w:hAnsi="宋体" w:eastAsia="黑体"/>
          <w:snapToGrid w:val="0"/>
          <w:kern w:val="0"/>
          <w:sz w:val="32"/>
          <w:szCs w:val="32"/>
          <w:highlight w:val="none"/>
        </w:rPr>
      </w:pPr>
      <w:r>
        <w:rPr>
          <w:rFonts w:hint="eastAsia" w:ascii="黑体" w:hAnsi="宋体" w:eastAsia="黑体"/>
          <w:snapToGrid w:val="0"/>
          <w:kern w:val="0"/>
          <w:sz w:val="32"/>
          <w:szCs w:val="32"/>
          <w:highlight w:val="none"/>
        </w:rPr>
        <w:t>四、投标人拟投入监理仪器、设备计划表</w:t>
      </w:r>
    </w:p>
    <w:tbl>
      <w:tblPr>
        <w:tblStyle w:val="8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08"/>
        <w:gridCol w:w="1153"/>
        <w:gridCol w:w="825"/>
        <w:gridCol w:w="825"/>
        <w:gridCol w:w="1153"/>
        <w:gridCol w:w="115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序号</w:t>
            </w:r>
          </w:p>
        </w:tc>
        <w:tc>
          <w:tcPr>
            <w:tcW w:w="2208"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监理仪器设备名称</w:t>
            </w:r>
          </w:p>
        </w:tc>
        <w:tc>
          <w:tcPr>
            <w:tcW w:w="115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规格型号</w:t>
            </w:r>
          </w:p>
        </w:tc>
        <w:tc>
          <w:tcPr>
            <w:tcW w:w="82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单位</w:t>
            </w:r>
          </w:p>
        </w:tc>
        <w:tc>
          <w:tcPr>
            <w:tcW w:w="825"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数量</w:t>
            </w:r>
          </w:p>
        </w:tc>
        <w:tc>
          <w:tcPr>
            <w:tcW w:w="115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性能说明</w:t>
            </w:r>
          </w:p>
        </w:tc>
        <w:tc>
          <w:tcPr>
            <w:tcW w:w="1153"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设备来源</w:t>
            </w:r>
          </w:p>
        </w:tc>
        <w:tc>
          <w:tcPr>
            <w:tcW w:w="1152"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p>
        </w:tc>
        <w:tc>
          <w:tcPr>
            <w:tcW w:w="2208"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825"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3" w:type="dxa"/>
            <w:vAlign w:val="center"/>
          </w:tcPr>
          <w:p>
            <w:pPr>
              <w:adjustRightInd w:val="0"/>
              <w:snapToGrid w:val="0"/>
              <w:spacing w:line="360" w:lineRule="auto"/>
              <w:jc w:val="center"/>
              <w:rPr>
                <w:rFonts w:ascii="宋体" w:hAnsi="宋体"/>
                <w:snapToGrid w:val="0"/>
                <w:kern w:val="0"/>
                <w:szCs w:val="21"/>
                <w:highlight w:val="none"/>
              </w:rPr>
            </w:pPr>
          </w:p>
        </w:tc>
        <w:tc>
          <w:tcPr>
            <w:tcW w:w="1152" w:type="dxa"/>
            <w:vAlign w:val="center"/>
          </w:tcPr>
          <w:p>
            <w:pPr>
              <w:adjustRightInd w:val="0"/>
              <w:snapToGrid w:val="0"/>
              <w:spacing w:line="360" w:lineRule="auto"/>
              <w:jc w:val="center"/>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Align w:val="center"/>
          </w:tcPr>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评审</w:t>
            </w:r>
          </w:p>
          <w:p>
            <w:pPr>
              <w:adjustRightInd w:val="0"/>
              <w:snapToGrid w:val="0"/>
              <w:spacing w:line="360" w:lineRule="auto"/>
              <w:jc w:val="center"/>
              <w:rPr>
                <w:rFonts w:ascii="宋体" w:hAnsi="宋体"/>
                <w:snapToGrid w:val="0"/>
                <w:kern w:val="0"/>
                <w:szCs w:val="21"/>
                <w:highlight w:val="none"/>
              </w:rPr>
            </w:pPr>
            <w:r>
              <w:rPr>
                <w:rFonts w:hint="eastAsia" w:ascii="宋体" w:hAnsi="宋体"/>
                <w:snapToGrid w:val="0"/>
                <w:kern w:val="0"/>
                <w:szCs w:val="21"/>
                <w:highlight w:val="none"/>
              </w:rPr>
              <w:t>意见</w:t>
            </w:r>
          </w:p>
        </w:tc>
        <w:tc>
          <w:tcPr>
            <w:tcW w:w="8469" w:type="dxa"/>
            <w:gridSpan w:val="7"/>
            <w:vAlign w:val="center"/>
          </w:tcPr>
          <w:p>
            <w:pPr>
              <w:adjustRightInd w:val="0"/>
              <w:snapToGrid w:val="0"/>
              <w:spacing w:line="360" w:lineRule="auto"/>
              <w:jc w:val="center"/>
              <w:rPr>
                <w:rFonts w:ascii="宋体" w:hAnsi="宋体"/>
                <w:snapToGrid w:val="0"/>
                <w:kern w:val="0"/>
                <w:szCs w:val="21"/>
                <w:highlight w:val="none"/>
              </w:rPr>
            </w:pPr>
          </w:p>
        </w:tc>
      </w:tr>
    </w:tbl>
    <w:p>
      <w:pPr>
        <w:adjustRightInd w:val="0"/>
        <w:snapToGrid w:val="0"/>
        <w:spacing w:line="360" w:lineRule="auto"/>
        <w:jc w:val="left"/>
        <w:rPr>
          <w:rFonts w:ascii="宋体" w:hAnsi="宋体"/>
          <w:snapToGrid w:val="0"/>
          <w:kern w:val="0"/>
          <w:szCs w:val="19"/>
          <w:highlight w:val="none"/>
        </w:rPr>
      </w:pPr>
    </w:p>
    <w:p>
      <w:pPr>
        <w:adjustRightInd w:val="0"/>
        <w:snapToGrid w:val="0"/>
        <w:spacing w:line="360" w:lineRule="auto"/>
        <w:jc w:val="left"/>
        <w:rPr>
          <w:highlight w:val="none"/>
        </w:rPr>
      </w:pPr>
      <w:r>
        <w:rPr>
          <w:rFonts w:hint="eastAsia" w:ascii="宋体" w:hAnsi="宋体"/>
          <w:snapToGrid w:val="0"/>
          <w:kern w:val="0"/>
          <w:szCs w:val="19"/>
          <w:highlight w:val="none"/>
        </w:rPr>
        <w:t>特别说明：投标人拟投入的监理仪器、设备，应该是结合本工程实际的施工测量复核和简易的质量实测实量所需的仪器、设备配置。如配置了含有具有工程质量检测资质才能执业使用的仪器、设备，或配置</w:t>
      </w:r>
      <w:r>
        <w:rPr>
          <w:rFonts w:ascii="宋体" w:hAnsi="宋体"/>
          <w:snapToGrid w:val="0"/>
          <w:kern w:val="0"/>
          <w:szCs w:val="19"/>
          <w:highlight w:val="none"/>
        </w:rPr>
        <w:t>了</w:t>
      </w:r>
      <w:r>
        <w:rPr>
          <w:rFonts w:hint="eastAsia" w:ascii="宋体" w:hAnsi="宋体"/>
          <w:snapToGrid w:val="0"/>
          <w:kern w:val="0"/>
          <w:szCs w:val="19"/>
          <w:highlight w:val="none"/>
        </w:rPr>
        <w:t>与施工测量复核和简易的质量实测实量无关的监理</w:t>
      </w:r>
      <w:r>
        <w:rPr>
          <w:rFonts w:ascii="宋体" w:hAnsi="宋体"/>
          <w:snapToGrid w:val="0"/>
          <w:kern w:val="0"/>
          <w:szCs w:val="19"/>
          <w:highlight w:val="none"/>
        </w:rPr>
        <w:t>仪器</w:t>
      </w:r>
      <w:r>
        <w:rPr>
          <w:rFonts w:hint="eastAsia" w:ascii="宋体" w:hAnsi="宋体"/>
          <w:snapToGrid w:val="0"/>
          <w:kern w:val="0"/>
          <w:szCs w:val="19"/>
          <w:highlight w:val="none"/>
        </w:rPr>
        <w:t>设备。评标专家根据工程实际情况对仪器、设备是否满足工作需求提出评审意见。</w:t>
      </w: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hAnsi="宋体"/>
          <w:b/>
          <w:kern w:val="0"/>
          <w:sz w:val="44"/>
          <w:szCs w:val="44"/>
          <w:highlight w:val="none"/>
        </w:rPr>
      </w:pPr>
    </w:p>
    <w:p>
      <w:pPr>
        <w:rPr>
          <w:highlight w:val="none"/>
        </w:rPr>
      </w:pPr>
      <w:r>
        <w:rPr>
          <w:highlight w:val="none"/>
        </w:rPr>
        <w:br w:type="page"/>
      </w: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ascii="黑体" w:eastAsia="黑体"/>
          <w:bCs/>
          <w:kern w:val="0"/>
          <w:sz w:val="52"/>
          <w:szCs w:val="52"/>
          <w:highlight w:val="none"/>
        </w:rPr>
      </w:pPr>
      <w:bookmarkStart w:id="62" w:name="_Toc24883_WPSOffice_Level2"/>
      <w:bookmarkStart w:id="63" w:name="_Toc8046"/>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w:t>
      </w:r>
      <w:r>
        <w:rPr>
          <w:rFonts w:hint="eastAsia" w:ascii="黑体" w:eastAsia="黑体"/>
          <w:bCs/>
          <w:kern w:val="0"/>
          <w:sz w:val="52"/>
          <w:szCs w:val="52"/>
          <w:highlight w:val="none"/>
          <w:lang w:eastAsia="zh-CN"/>
        </w:rPr>
        <w:t>监理</w:t>
      </w:r>
      <w:r>
        <w:rPr>
          <w:rFonts w:hint="eastAsia" w:ascii="黑体" w:eastAsia="黑体"/>
          <w:bCs/>
          <w:kern w:val="0"/>
          <w:sz w:val="52"/>
          <w:szCs w:val="52"/>
          <w:highlight w:val="none"/>
        </w:rPr>
        <w:t>类招标</w:t>
      </w:r>
      <w:bookmarkEnd w:id="62"/>
      <w:bookmarkEnd w:id="63"/>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64" w:name="_Toc19918_WPSOffice_Level2"/>
      <w:bookmarkStart w:id="65" w:name="_Toc415"/>
      <w:r>
        <w:rPr>
          <w:rFonts w:hint="eastAsia" w:ascii="黑体" w:eastAsia="黑体"/>
          <w:bCs/>
          <w:kern w:val="0"/>
          <w:sz w:val="52"/>
          <w:szCs w:val="52"/>
          <w:highlight w:val="none"/>
        </w:rPr>
        <w:t>投 标 文 件</w:t>
      </w:r>
      <w:bookmarkEnd w:id="64"/>
      <w:bookmarkEnd w:id="65"/>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投标文件内容：</w:t>
      </w:r>
      <w:r>
        <w:rPr>
          <w:rFonts w:ascii="宋体"/>
          <w:kern w:val="0"/>
          <w:sz w:val="30"/>
          <w:szCs w:val="30"/>
          <w:highlight w:val="none"/>
        </w:rPr>
        <w:t>______</w:t>
      </w:r>
      <w:r>
        <w:rPr>
          <w:rFonts w:hint="eastAsia" w:ascii="黑体" w:eastAsia="黑体"/>
          <w:kern w:val="0"/>
          <w:sz w:val="30"/>
          <w:szCs w:val="30"/>
          <w:highlight w:val="none"/>
          <w:u w:val="single"/>
        </w:rPr>
        <w:t>资格审查部分</w:t>
      </w:r>
      <w:r>
        <w:rPr>
          <w:rFonts w:ascii="宋体"/>
          <w:kern w:val="0"/>
          <w:sz w:val="30"/>
          <w:szCs w:val="30"/>
          <w:highlight w:val="none"/>
        </w:rPr>
        <w:t>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left="1470" w:leftChars="7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对所提供资料的真实性、准确性、有效性负全部责任。</w:t>
      </w:r>
    </w:p>
    <w:p>
      <w:pPr>
        <w:adjustRightInd w:val="0"/>
        <w:snapToGrid w:val="0"/>
        <w:spacing w:line="360" w:lineRule="auto"/>
        <w:ind w:firstLine="420" w:firstLineChars="200"/>
        <w:jc w:val="left"/>
        <w:rPr>
          <w:rFonts w:ascii="宋体" w:hAnsi="宋体"/>
          <w:kern w:val="0"/>
          <w:highlight w:val="none"/>
        </w:rPr>
      </w:pPr>
    </w:p>
    <w:p>
      <w:pPr>
        <w:adjustRightInd w:val="0"/>
        <w:snapToGrid w:val="0"/>
        <w:spacing w:line="360" w:lineRule="auto"/>
        <w:jc w:val="center"/>
        <w:rPr>
          <w:highlight w:val="none"/>
        </w:rPr>
      </w:pPr>
    </w:p>
    <w:p>
      <w:pPr>
        <w:adjustRightInd w:val="0"/>
        <w:snapToGrid w:val="0"/>
        <w:spacing w:line="360" w:lineRule="auto"/>
        <w:jc w:val="center"/>
        <w:rPr>
          <w:rFonts w:ascii="宋体" w:hAnsi="宋体"/>
          <w:kern w:val="0"/>
          <w:sz w:val="44"/>
          <w:highlight w:val="none"/>
        </w:rPr>
      </w:pPr>
      <w:r>
        <w:rPr>
          <w:rFonts w:hint="eastAsia" w:ascii="宋体" w:hAnsi="宋体"/>
          <w:kern w:val="0"/>
          <w:sz w:val="44"/>
          <w:highlight w:val="none"/>
        </w:rPr>
        <w:t>投标保函</w:t>
      </w:r>
    </w:p>
    <w:p>
      <w:pPr>
        <w:adjustRightInd w:val="0"/>
        <w:snapToGrid w:val="0"/>
        <w:ind w:firstLine="5670" w:firstLineChars="2700"/>
        <w:rPr>
          <w:rFonts w:ascii="宋体" w:hAnsi="宋体"/>
          <w:kern w:val="0"/>
          <w:szCs w:val="21"/>
          <w:highlight w:val="none"/>
        </w:rPr>
      </w:pPr>
      <w:r>
        <w:rPr>
          <w:rFonts w:hint="eastAsia" w:ascii="宋体" w:hAnsi="宋体"/>
          <w:kern w:val="0"/>
          <w:szCs w:val="21"/>
          <w:highlight w:val="none"/>
        </w:rPr>
        <w:t>保函编号：</w:t>
      </w:r>
      <w:r>
        <w:rPr>
          <w:rFonts w:ascii="宋体" w:hAnsi="宋体"/>
          <w:kern w:val="0"/>
          <w:szCs w:val="21"/>
          <w:highlight w:val="none"/>
          <w:u w:val="single"/>
        </w:rPr>
        <w:t>__________</w:t>
      </w:r>
    </w:p>
    <w:p>
      <w:pPr>
        <w:adjustRightInd w:val="0"/>
        <w:snapToGrid w:val="0"/>
        <w:spacing w:line="360" w:lineRule="exact"/>
        <w:rPr>
          <w:rFonts w:hAnsi="宋体"/>
          <w:kern w:val="0"/>
          <w:szCs w:val="21"/>
          <w:highlight w:val="none"/>
        </w:rPr>
      </w:pPr>
    </w:p>
    <w:p>
      <w:pPr>
        <w:adjustRightInd w:val="0"/>
        <w:snapToGrid w:val="0"/>
        <w:spacing w:line="360" w:lineRule="exact"/>
        <w:rPr>
          <w:rFonts w:hAnsi="宋体"/>
          <w:kern w:val="0"/>
          <w:szCs w:val="21"/>
          <w:highlight w:val="none"/>
        </w:rPr>
      </w:pPr>
      <w:r>
        <w:rPr>
          <w:rFonts w:hint="eastAsia" w:hAnsi="宋体"/>
          <w:kern w:val="0"/>
          <w:szCs w:val="21"/>
          <w:highlight w:val="none"/>
        </w:rPr>
        <w:t>致</w:t>
      </w:r>
      <w:r>
        <w:rPr>
          <w:rFonts w:ascii="宋体" w:hAnsi="宋体"/>
          <w:kern w:val="0"/>
          <w:szCs w:val="21"/>
          <w:highlight w:val="none"/>
          <w:u w:val="single"/>
        </w:rPr>
        <w:t>______________________________</w:t>
      </w:r>
      <w:r>
        <w:rPr>
          <w:rFonts w:hint="eastAsia" w:hAnsi="宋体"/>
          <w:szCs w:val="21"/>
          <w:highlight w:val="none"/>
        </w:rPr>
        <w:t>（</w:t>
      </w:r>
      <w:r>
        <w:rPr>
          <w:rFonts w:hint="eastAsia" w:hAnsi="宋体"/>
          <w:kern w:val="0"/>
          <w:szCs w:val="21"/>
          <w:highlight w:val="none"/>
        </w:rPr>
        <w:t>下称受益人</w:t>
      </w:r>
      <w:r>
        <w:rPr>
          <w:rFonts w:hint="eastAsia" w:hAnsi="宋体"/>
          <w:szCs w:val="21"/>
          <w:highlight w:val="none"/>
        </w:rPr>
        <w:t>）</w:t>
      </w:r>
      <w:r>
        <w:rPr>
          <w:rFonts w:hint="eastAsia" w:hAnsi="宋体"/>
          <w:kern w:val="0"/>
          <w:szCs w:val="21"/>
          <w:highlight w:val="none"/>
        </w:rPr>
        <w:t>：</w:t>
      </w:r>
    </w:p>
    <w:p>
      <w:pPr>
        <w:adjustRightInd w:val="0"/>
        <w:snapToGrid w:val="0"/>
        <w:spacing w:line="360" w:lineRule="exact"/>
        <w:ind w:firstLine="482"/>
        <w:jc w:val="left"/>
        <w:rPr>
          <w:rFonts w:ascii="宋体" w:hAnsi="宋体"/>
          <w:kern w:val="0"/>
          <w:szCs w:val="21"/>
          <w:highlight w:val="none"/>
        </w:rPr>
      </w:pPr>
      <w:r>
        <w:rPr>
          <w:rFonts w:hint="eastAsia" w:ascii="宋体" w:hAnsi="宋体"/>
          <w:kern w:val="0"/>
          <w:szCs w:val="21"/>
          <w:highlight w:val="none"/>
        </w:rPr>
        <w:t>鉴于</w:t>
      </w:r>
      <w:r>
        <w:rPr>
          <w:rFonts w:ascii="宋体" w:hAnsi="宋体"/>
          <w:kern w:val="0"/>
          <w:szCs w:val="21"/>
          <w:highlight w:val="none"/>
          <w:u w:val="single"/>
        </w:rPr>
        <w:t>_____________________________</w:t>
      </w:r>
      <w:r>
        <w:rPr>
          <w:rFonts w:ascii="宋体" w:hAnsi="宋体"/>
          <w:kern w:val="0"/>
          <w:szCs w:val="21"/>
          <w:highlight w:val="none"/>
        </w:rPr>
        <w:t>（</w:t>
      </w:r>
      <w:r>
        <w:rPr>
          <w:rFonts w:hint="eastAsia" w:ascii="宋体" w:hAnsi="宋体"/>
          <w:kern w:val="0"/>
          <w:szCs w:val="21"/>
          <w:highlight w:val="none"/>
        </w:rPr>
        <w:t>下称被保证人</w:t>
      </w:r>
      <w:r>
        <w:rPr>
          <w:rFonts w:ascii="宋体" w:hAnsi="宋体"/>
          <w:kern w:val="0"/>
          <w:szCs w:val="21"/>
          <w:highlight w:val="none"/>
        </w:rPr>
        <w:t>）</w:t>
      </w:r>
      <w:r>
        <w:rPr>
          <w:rFonts w:hint="eastAsia" w:ascii="宋体" w:hAnsi="宋体"/>
          <w:kern w:val="0"/>
          <w:szCs w:val="21"/>
          <w:highlight w:val="none"/>
        </w:rPr>
        <w:t>将参加贵方标段编号为</w:t>
      </w:r>
      <w:r>
        <w:rPr>
          <w:rFonts w:ascii="宋体" w:hAnsi="宋体"/>
          <w:kern w:val="0"/>
          <w:szCs w:val="21"/>
          <w:highlight w:val="none"/>
          <w:u w:val="single"/>
        </w:rPr>
        <w:t>______________</w:t>
      </w:r>
      <w:r>
        <w:rPr>
          <w:rFonts w:hint="eastAsia" w:ascii="宋体" w:hAnsi="宋体"/>
          <w:kern w:val="0"/>
          <w:szCs w:val="21"/>
          <w:highlight w:val="none"/>
        </w:rPr>
        <w:t>的</w:t>
      </w:r>
      <w:r>
        <w:rPr>
          <w:rFonts w:ascii="宋体" w:hAnsi="宋体"/>
          <w:kern w:val="0"/>
          <w:szCs w:val="21"/>
          <w:highlight w:val="none"/>
          <w:u w:val="single"/>
        </w:rPr>
        <w:t>____________________________________</w:t>
      </w:r>
      <w:r>
        <w:rPr>
          <w:rFonts w:hint="eastAsia" w:ascii="宋体" w:hAnsi="宋体"/>
          <w:kern w:val="0"/>
          <w:szCs w:val="21"/>
          <w:highlight w:val="none"/>
        </w:rPr>
        <w:t>项目的投标，我方接受被保证人的委托，在此向受益人提供不可撤销的投标保证：</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一、本保证担保的担保金额为</w:t>
      </w:r>
      <w:r>
        <w:rPr>
          <w:rFonts w:ascii="宋体" w:hAnsi="宋体"/>
          <w:kern w:val="0"/>
          <w:szCs w:val="21"/>
          <w:highlight w:val="none"/>
          <w:u w:val="single"/>
        </w:rPr>
        <w:t>______</w:t>
      </w:r>
      <w:r>
        <w:rPr>
          <w:rFonts w:hint="eastAsia" w:hAnsi="宋体"/>
          <w:szCs w:val="21"/>
          <w:highlight w:val="none"/>
        </w:rPr>
        <w:t>（</w:t>
      </w:r>
      <w:r>
        <w:rPr>
          <w:rFonts w:hint="eastAsia" w:hAnsi="宋体"/>
          <w:kern w:val="0"/>
          <w:szCs w:val="21"/>
          <w:highlight w:val="none"/>
        </w:rPr>
        <w:t>币种</w:t>
      </w:r>
      <w:r>
        <w:rPr>
          <w:rFonts w:hint="eastAsia" w:hAnsi="宋体"/>
          <w:szCs w:val="21"/>
          <w:highlight w:val="none"/>
        </w:rPr>
        <w:t>）</w:t>
      </w:r>
      <w:r>
        <w:rPr>
          <w:rFonts w:ascii="宋体" w:hAnsi="宋体"/>
          <w:kern w:val="0"/>
          <w:szCs w:val="21"/>
          <w:highlight w:val="none"/>
          <w:u w:val="single"/>
        </w:rPr>
        <w:t>______</w:t>
      </w:r>
      <w:r>
        <w:rPr>
          <w:rFonts w:hint="eastAsia" w:hAnsi="宋体"/>
          <w:kern w:val="0"/>
          <w:szCs w:val="21"/>
          <w:highlight w:val="none"/>
        </w:rPr>
        <w:t>元</w:t>
      </w:r>
      <w:r>
        <w:rPr>
          <w:rFonts w:hint="eastAsia" w:hAnsi="宋体"/>
          <w:szCs w:val="21"/>
          <w:highlight w:val="none"/>
        </w:rPr>
        <w:t>（</w:t>
      </w:r>
      <w:r>
        <w:rPr>
          <w:rFonts w:hint="eastAsia" w:hAnsi="宋体"/>
          <w:kern w:val="0"/>
          <w:szCs w:val="21"/>
          <w:highlight w:val="none"/>
        </w:rPr>
        <w:t>小写</w:t>
      </w:r>
      <w:r>
        <w:rPr>
          <w:rFonts w:hint="eastAsia" w:hAnsi="宋体"/>
          <w:szCs w:val="21"/>
          <w:highlight w:val="none"/>
        </w:rPr>
        <w:t>）</w:t>
      </w:r>
      <w:r>
        <w:rPr>
          <w:rFonts w:ascii="宋体" w:hAnsi="宋体"/>
          <w:kern w:val="0"/>
          <w:szCs w:val="21"/>
          <w:highlight w:val="none"/>
          <w:u w:val="single"/>
        </w:rPr>
        <w:t>_____________</w:t>
      </w:r>
      <w:r>
        <w:rPr>
          <w:rFonts w:hint="eastAsia" w:hAnsi="宋体"/>
          <w:szCs w:val="21"/>
          <w:highlight w:val="none"/>
        </w:rPr>
        <w:t>（</w:t>
      </w:r>
      <w:r>
        <w:rPr>
          <w:rFonts w:hint="eastAsia" w:hAnsi="宋体"/>
          <w:kern w:val="0"/>
          <w:szCs w:val="21"/>
          <w:highlight w:val="none"/>
        </w:rPr>
        <w:t>大写</w:t>
      </w:r>
      <w:r>
        <w:rPr>
          <w:rFonts w:hint="eastAsia" w:hAnsi="宋体"/>
          <w:szCs w:val="21"/>
          <w:highlight w:val="none"/>
        </w:rPr>
        <w:t>）</w:t>
      </w:r>
      <w:r>
        <w:rPr>
          <w:rFonts w:hint="eastAsia" w:hAnsi="宋体"/>
          <w:kern w:val="0"/>
          <w:szCs w:val="21"/>
          <w:highlight w:val="none"/>
        </w:rPr>
        <w:t>。</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二、本保证担保的保证期间为该项目的投标有效期或延长的投标有效期后28日</w:t>
      </w:r>
      <w:r>
        <w:rPr>
          <w:rFonts w:hint="eastAsia" w:hAnsi="宋体"/>
          <w:szCs w:val="21"/>
          <w:highlight w:val="none"/>
        </w:rPr>
        <w:t>（</w:t>
      </w:r>
      <w:r>
        <w:rPr>
          <w:rFonts w:hint="eastAsia" w:hAnsi="宋体"/>
          <w:kern w:val="0"/>
          <w:szCs w:val="21"/>
          <w:highlight w:val="none"/>
        </w:rPr>
        <w:t>含28日</w:t>
      </w:r>
      <w:r>
        <w:rPr>
          <w:rFonts w:hint="eastAsia" w:hAnsi="宋体"/>
          <w:szCs w:val="21"/>
          <w:highlight w:val="none"/>
        </w:rPr>
        <w:t>）</w:t>
      </w:r>
      <w:r>
        <w:rPr>
          <w:rFonts w:hint="eastAsia" w:hAnsi="宋体"/>
          <w:kern w:val="0"/>
          <w:szCs w:val="21"/>
          <w:highlight w:val="none"/>
        </w:rPr>
        <w:t>，延长投标有效期无须通知我方。</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三、在本保证担保的保证期间内，如果被保证人出现下列情形之一，受益人可以向我方提起索赔：</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1.被保证人在招标文件规定的投标有效期内撤回其投标；</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2.被保证人在投标有效期内收到受益人发出的中标通知书后，不能或拒绝按招标文件的要求签署合同；</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3.被保证人在投标有效期内收到受益人发出的中标通知书后，不能或拒绝按招标文件的规定提交履约担保。</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五、受益人的索赔通知应当说明索赔理由，并必须在本保证担保的保证期间内以专人送达或邮寄送达的方式送达我方。</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六、本保证担保项下的权利不得转让。</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七、本保证担保的保证期间届满，或我方已向受益人支付本保证担保的担保金额，我方的保证责任免除。</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八、本保证担保适用中华人民共和国法律。</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九、本保证担保以中文文本为准，涂改无效。</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保证人（盖章）：</w:t>
      </w:r>
      <w:r>
        <w:rPr>
          <w:rFonts w:ascii="宋体" w:hAnsi="宋体"/>
          <w:kern w:val="0"/>
          <w:szCs w:val="21"/>
          <w:highlight w:val="none"/>
          <w:u w:val="single"/>
        </w:rPr>
        <w:t>___________________________________________________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法定代表人或其授权委托代理人（签字或盖章）：</w:t>
      </w:r>
      <w:r>
        <w:rPr>
          <w:rFonts w:ascii="宋体" w:hAnsi="宋体"/>
          <w:kern w:val="0"/>
          <w:szCs w:val="21"/>
          <w:highlight w:val="none"/>
          <w:u w:val="single"/>
        </w:rPr>
        <w:t>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单位地址：</w:t>
      </w:r>
      <w:r>
        <w:rPr>
          <w:rFonts w:ascii="宋体" w:hAnsi="宋体"/>
          <w:kern w:val="0"/>
          <w:szCs w:val="21"/>
          <w:highlight w:val="none"/>
          <w:u w:val="single"/>
        </w:rPr>
        <w:t>________________________________________________________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邮政编码：</w:t>
      </w:r>
      <w:r>
        <w:rPr>
          <w:rFonts w:ascii="宋体" w:hAnsi="宋体"/>
          <w:kern w:val="0"/>
          <w:szCs w:val="21"/>
          <w:highlight w:val="none"/>
          <w:u w:val="single"/>
        </w:rPr>
        <w:t>___________</w:t>
      </w:r>
      <w:r>
        <w:rPr>
          <w:rFonts w:hint="eastAsia" w:ascii="宋体" w:hAnsi="宋体"/>
          <w:kern w:val="0"/>
          <w:szCs w:val="21"/>
          <w:highlight w:val="none"/>
        </w:rPr>
        <w:t>电话：</w:t>
      </w:r>
      <w:r>
        <w:rPr>
          <w:rFonts w:ascii="宋体" w:hAnsi="宋体"/>
          <w:kern w:val="0"/>
          <w:szCs w:val="21"/>
          <w:highlight w:val="none"/>
          <w:u w:val="single"/>
        </w:rPr>
        <w:t>_________________</w:t>
      </w:r>
      <w:r>
        <w:rPr>
          <w:rFonts w:hint="eastAsia" w:ascii="宋体" w:hAnsi="宋体"/>
          <w:kern w:val="0"/>
          <w:szCs w:val="21"/>
          <w:highlight w:val="none"/>
        </w:rPr>
        <w:t>传真：</w:t>
      </w:r>
      <w:r>
        <w:rPr>
          <w:rFonts w:ascii="宋体" w:hAnsi="宋体"/>
          <w:kern w:val="0"/>
          <w:szCs w:val="21"/>
          <w:highlight w:val="none"/>
          <w:u w:val="single"/>
        </w:rPr>
        <w:t>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日期：</w:t>
      </w:r>
      <w:r>
        <w:rPr>
          <w:rFonts w:ascii="宋体" w:hAnsi="宋体"/>
          <w:kern w:val="0"/>
          <w:szCs w:val="21"/>
          <w:highlight w:val="none"/>
          <w:u w:val="single"/>
        </w:rPr>
        <w:t>__________</w:t>
      </w:r>
      <w:r>
        <w:rPr>
          <w:rFonts w:hint="eastAsia" w:ascii="宋体" w:hAnsi="宋体"/>
          <w:kern w:val="0"/>
          <w:szCs w:val="21"/>
          <w:highlight w:val="none"/>
        </w:rPr>
        <w:t>年</w:t>
      </w:r>
      <w:r>
        <w:rPr>
          <w:rFonts w:ascii="宋体" w:hAnsi="宋体"/>
          <w:kern w:val="0"/>
          <w:szCs w:val="21"/>
          <w:highlight w:val="none"/>
          <w:u w:val="single"/>
        </w:rPr>
        <w:t>______</w:t>
      </w:r>
      <w:r>
        <w:rPr>
          <w:rFonts w:hint="eastAsia" w:ascii="宋体" w:hAnsi="宋体"/>
          <w:kern w:val="0"/>
          <w:szCs w:val="21"/>
          <w:highlight w:val="none"/>
        </w:rPr>
        <w:t>月</w:t>
      </w:r>
      <w:r>
        <w:rPr>
          <w:rFonts w:ascii="宋体" w:hAnsi="宋体"/>
          <w:kern w:val="0"/>
          <w:szCs w:val="21"/>
          <w:highlight w:val="none"/>
          <w:u w:val="single"/>
        </w:rPr>
        <w:t>______</w:t>
      </w:r>
      <w:r>
        <w:rPr>
          <w:rFonts w:hint="eastAsia" w:ascii="宋体" w:hAnsi="宋体"/>
          <w:kern w:val="0"/>
          <w:szCs w:val="21"/>
          <w:highlight w:val="none"/>
        </w:rPr>
        <w:t>日</w:t>
      </w:r>
    </w:p>
    <w:p>
      <w:pPr>
        <w:adjustRightInd w:val="0"/>
        <w:snapToGrid w:val="0"/>
        <w:spacing w:line="360" w:lineRule="exact"/>
        <w:ind w:firstLine="420" w:firstLineChars="200"/>
        <w:rPr>
          <w:rFonts w:ascii="宋体" w:hAnsi="宋体"/>
          <w:kern w:val="0"/>
          <w:szCs w:val="21"/>
          <w:highlight w:val="none"/>
        </w:rPr>
      </w:pPr>
    </w:p>
    <w:p>
      <w:pPr>
        <w:adjustRightInd w:val="0"/>
        <w:snapToGrid w:val="0"/>
        <w:spacing w:line="360" w:lineRule="exact"/>
        <w:ind w:firstLine="420" w:firstLineChars="200"/>
        <w:rPr>
          <w:rFonts w:ascii="宋体" w:hAnsi="宋体"/>
          <w:kern w:val="0"/>
          <w:szCs w:val="21"/>
          <w:highlight w:val="none"/>
        </w:rPr>
      </w:pPr>
    </w:p>
    <w:p>
      <w:pPr>
        <w:adjustRightInd w:val="0"/>
        <w:snapToGrid w:val="0"/>
        <w:spacing w:line="360" w:lineRule="exact"/>
        <w:rPr>
          <w:rFonts w:ascii="宋体" w:hAnsi="宋体"/>
          <w:kern w:val="0"/>
          <w:szCs w:val="21"/>
          <w:highlight w:val="none"/>
        </w:rPr>
      </w:pPr>
      <w:r>
        <w:rPr>
          <w:rFonts w:hint="eastAsia" w:ascii="宋体" w:hAnsi="宋体"/>
          <w:kern w:val="0"/>
          <w:szCs w:val="21"/>
          <w:highlight w:val="none"/>
        </w:rPr>
        <w:t>（本保函失效后，请将原件退回我方注销）</w:t>
      </w:r>
    </w:p>
    <w:p>
      <w:pPr>
        <w:adjustRightInd w:val="0"/>
        <w:snapToGrid w:val="0"/>
        <w:spacing w:line="360" w:lineRule="exact"/>
        <w:rPr>
          <w:rFonts w:ascii="宋体" w:hAnsi="宋体"/>
          <w:kern w:val="0"/>
          <w:szCs w:val="21"/>
          <w:highlight w:val="none"/>
        </w:rPr>
      </w:pPr>
    </w:p>
    <w:p>
      <w:pPr>
        <w:jc w:val="left"/>
        <w:rPr>
          <w:rFonts w:hAnsi="宋体"/>
          <w:kern w:val="0"/>
          <w:szCs w:val="21"/>
          <w:highlight w:val="none"/>
        </w:rPr>
      </w:pPr>
      <w:r>
        <w:rPr>
          <w:rFonts w:hint="eastAsia" w:hAnsi="宋体"/>
          <w:kern w:val="0"/>
          <w:szCs w:val="21"/>
          <w:highlight w:val="none"/>
        </w:rPr>
        <w:t>注：如果投标人不采用以上投标保函格式，拟采用的投标保函格式须经招标人确认。</w:t>
      </w:r>
    </w:p>
    <w:p>
      <w:pPr>
        <w:adjustRightInd w:val="0"/>
        <w:snapToGrid w:val="0"/>
        <w:spacing w:line="360" w:lineRule="auto"/>
        <w:ind w:firstLine="420" w:firstLineChars="200"/>
        <w:jc w:val="left"/>
        <w:rPr>
          <w:highlight w:val="none"/>
        </w:rPr>
      </w:pPr>
    </w:p>
    <w:p>
      <w:pPr>
        <w:adjustRightInd w:val="0"/>
        <w:snapToGrid w:val="0"/>
        <w:spacing w:line="360" w:lineRule="auto"/>
        <w:ind w:firstLine="420" w:firstLineChars="200"/>
        <w:jc w:val="left"/>
        <w:rPr>
          <w:highlight w:val="none"/>
        </w:rPr>
      </w:pPr>
    </w:p>
    <w:p>
      <w:pPr>
        <w:adjustRightInd w:val="0"/>
        <w:snapToGrid w:val="0"/>
        <w:spacing w:line="360" w:lineRule="auto"/>
        <w:ind w:firstLine="420" w:firstLineChars="200"/>
        <w:jc w:val="left"/>
        <w:rPr>
          <w:highlight w:val="none"/>
        </w:rPr>
      </w:pPr>
    </w:p>
    <w:p>
      <w:pPr>
        <w:adjustRightInd w:val="0"/>
        <w:snapToGrid w:val="0"/>
        <w:spacing w:line="360" w:lineRule="auto"/>
        <w:ind w:firstLine="420" w:firstLineChars="200"/>
        <w:jc w:val="left"/>
        <w:rPr>
          <w:highlight w:val="none"/>
        </w:rPr>
      </w:pPr>
    </w:p>
    <w:p>
      <w:pPr>
        <w:adjustRightInd w:val="0"/>
        <w:snapToGrid w:val="0"/>
        <w:spacing w:line="360" w:lineRule="auto"/>
        <w:jc w:val="center"/>
        <w:rPr>
          <w:rFonts w:ascii="宋体" w:hAnsi="宋体"/>
          <w:b/>
          <w:kern w:val="0"/>
          <w:sz w:val="28"/>
          <w:szCs w:val="28"/>
          <w:highlight w:val="none"/>
        </w:rPr>
      </w:pPr>
      <w:bookmarkStart w:id="66" w:name="_Toc19626_WPSOffice_Level2"/>
      <w:bookmarkStart w:id="67" w:name="_Toc16049"/>
      <w:bookmarkStart w:id="68" w:name="TBZ1"/>
      <w:r>
        <w:rPr>
          <w:rFonts w:hint="eastAsia" w:ascii="宋体" w:hAnsi="宋体"/>
          <w:b/>
          <w:kern w:val="0"/>
          <w:sz w:val="28"/>
          <w:szCs w:val="28"/>
          <w:highlight w:val="none"/>
          <w:lang w:eastAsia="zh-CN"/>
        </w:rPr>
        <w:t>统一社会信用代码</w:t>
      </w:r>
      <w:r>
        <w:rPr>
          <w:rFonts w:hint="eastAsia" w:ascii="宋体" w:hAnsi="宋体"/>
          <w:b/>
          <w:kern w:val="0"/>
          <w:sz w:val="28"/>
          <w:szCs w:val="28"/>
          <w:highlight w:val="none"/>
        </w:rPr>
        <w:t>（原件扫描件）</w:t>
      </w:r>
      <w:bookmarkEnd w:id="66"/>
      <w:bookmarkEnd w:id="67"/>
    </w:p>
    <w:p>
      <w:pPr>
        <w:adjustRightInd w:val="0"/>
        <w:snapToGrid w:val="0"/>
        <w:spacing w:line="360" w:lineRule="auto"/>
        <w:rPr>
          <w:highlight w:val="none"/>
        </w:rPr>
      </w:pPr>
      <w:r>
        <w:rPr>
          <w:highlight w:val="none"/>
        </w:rPr>
        <w:br w:type="page"/>
      </w:r>
    </w:p>
    <w:bookmarkEnd w:id="68"/>
    <w:p>
      <w:pPr>
        <w:adjustRightInd w:val="0"/>
        <w:snapToGrid w:val="0"/>
        <w:spacing w:line="360" w:lineRule="auto"/>
        <w:jc w:val="center"/>
        <w:rPr>
          <w:rFonts w:ascii="宋体" w:hAnsi="宋体"/>
          <w:b/>
          <w:kern w:val="0"/>
          <w:sz w:val="28"/>
          <w:szCs w:val="28"/>
          <w:highlight w:val="none"/>
        </w:rPr>
      </w:pPr>
      <w:bookmarkStart w:id="69" w:name="_Toc16190_WPSOffice_Level2"/>
      <w:bookmarkStart w:id="70" w:name="_Toc13756"/>
      <w:bookmarkStart w:id="71" w:name="TBZ2"/>
      <w:r>
        <w:rPr>
          <w:rFonts w:hint="eastAsia" w:ascii="宋体" w:hAnsi="宋体"/>
          <w:b/>
          <w:kern w:val="0"/>
          <w:sz w:val="28"/>
          <w:szCs w:val="28"/>
          <w:highlight w:val="none"/>
        </w:rPr>
        <w:t>企业资质证书（原件扫描件）</w:t>
      </w:r>
      <w:bookmarkEnd w:id="69"/>
      <w:bookmarkEnd w:id="70"/>
    </w:p>
    <w:p>
      <w:pPr>
        <w:adjustRightInd w:val="0"/>
        <w:snapToGrid w:val="0"/>
        <w:spacing w:line="360" w:lineRule="auto"/>
        <w:rPr>
          <w:highlight w:val="none"/>
        </w:rPr>
      </w:pPr>
      <w:r>
        <w:rPr>
          <w:highlight w:val="none"/>
        </w:rPr>
        <w:br w:type="page"/>
      </w:r>
    </w:p>
    <w:bookmarkEnd w:id="71"/>
    <w:p>
      <w:pPr>
        <w:adjustRightInd w:val="0"/>
        <w:snapToGrid w:val="0"/>
        <w:spacing w:line="360" w:lineRule="auto"/>
        <w:jc w:val="center"/>
        <w:rPr>
          <w:rFonts w:ascii="宋体" w:hAnsi="宋体"/>
          <w:b/>
          <w:kern w:val="0"/>
          <w:sz w:val="28"/>
          <w:szCs w:val="28"/>
          <w:highlight w:val="none"/>
        </w:rPr>
      </w:pPr>
      <w:bookmarkStart w:id="72" w:name="_Toc8826_WPSOffice_Level2"/>
      <w:bookmarkStart w:id="73" w:name="_Toc31301"/>
      <w:bookmarkStart w:id="74" w:name="TBZ3"/>
      <w:r>
        <w:rPr>
          <w:rFonts w:hint="eastAsia" w:ascii="宋体" w:hAnsi="宋体"/>
          <w:b/>
          <w:kern w:val="0"/>
          <w:sz w:val="28"/>
          <w:szCs w:val="28"/>
          <w:highlight w:val="none"/>
        </w:rPr>
        <w:t>联合体共同投标协议（原件扫描件）</w:t>
      </w:r>
      <w:bookmarkEnd w:id="72"/>
      <w:bookmarkEnd w:id="73"/>
    </w:p>
    <w:p>
      <w:pPr>
        <w:rPr>
          <w:rFonts w:ascii="宋体" w:hAnsi="宋体"/>
          <w:kern w:val="0"/>
          <w:szCs w:val="21"/>
          <w:highlight w:val="none"/>
        </w:rPr>
      </w:pPr>
      <w:r>
        <w:rPr>
          <w:rFonts w:hint="eastAsia" w:ascii="宋体" w:hAnsi="宋体"/>
          <w:kern w:val="0"/>
          <w:szCs w:val="21"/>
          <w:highlight w:val="none"/>
        </w:rPr>
        <w:br w:type="page"/>
      </w:r>
    </w:p>
    <w:bookmarkEnd w:id="74"/>
    <w:p>
      <w:pPr>
        <w:rPr>
          <w:highlight w:val="none"/>
        </w:rPr>
      </w:pPr>
    </w:p>
    <w:p>
      <w:pPr>
        <w:rPr>
          <w:highlight w:val="none"/>
        </w:rPr>
      </w:pPr>
    </w:p>
    <w:p>
      <w:pPr>
        <w:adjustRightInd w:val="0"/>
        <w:snapToGrid w:val="0"/>
        <w:spacing w:line="360" w:lineRule="auto"/>
        <w:jc w:val="center"/>
        <w:rPr>
          <w:rFonts w:ascii="宋体" w:hAnsi="宋体"/>
          <w:b/>
          <w:kern w:val="0"/>
          <w:sz w:val="28"/>
          <w:szCs w:val="28"/>
          <w:highlight w:val="none"/>
        </w:rPr>
      </w:pPr>
      <w:bookmarkStart w:id="75" w:name="_Toc21087"/>
      <w:bookmarkStart w:id="76" w:name="TBZ4"/>
      <w:r>
        <w:rPr>
          <w:rFonts w:hint="eastAsia" w:ascii="宋体" w:hAnsi="宋体"/>
          <w:b/>
          <w:kern w:val="0"/>
          <w:sz w:val="28"/>
          <w:szCs w:val="28"/>
          <w:highlight w:val="none"/>
        </w:rPr>
        <w:t>其    他</w:t>
      </w:r>
      <w:bookmarkEnd w:id="75"/>
    </w:p>
    <w:p>
      <w:pPr>
        <w:adjustRightInd w:val="0"/>
        <w:snapToGrid w:val="0"/>
        <w:spacing w:line="360" w:lineRule="auto"/>
        <w:jc w:val="left"/>
        <w:rPr>
          <w:highlight w:val="none"/>
        </w:rPr>
      </w:pPr>
      <w:r>
        <w:rPr>
          <w:rFonts w:hint="eastAsia" w:ascii="宋体" w:hAnsi="宋体"/>
          <w:bCs/>
          <w:kern w:val="0"/>
          <w:highlight w:val="none"/>
        </w:rPr>
        <w:t>其他2</w:t>
      </w:r>
      <w:r>
        <w:rPr>
          <w:highlight w:val="none"/>
        </w:rPr>
        <w:br w:type="page"/>
      </w:r>
    </w:p>
    <w:bookmarkEnd w:id="76"/>
    <w:p>
      <w:pPr>
        <w:adjustRightInd w:val="0"/>
        <w:snapToGrid w:val="0"/>
        <w:spacing w:line="360" w:lineRule="auto"/>
        <w:jc w:val="center"/>
        <w:rPr>
          <w:rFonts w:hAnsi="宋体"/>
          <w:b/>
          <w:kern w:val="0"/>
          <w:sz w:val="44"/>
          <w:szCs w:val="44"/>
          <w:highlight w:val="none"/>
        </w:rPr>
      </w:pPr>
      <w:bookmarkStart w:id="77" w:name="_Toc13908"/>
      <w:bookmarkStart w:id="78" w:name="_Toc13708"/>
      <w:bookmarkStart w:id="79" w:name="_Toc14582"/>
      <w:bookmarkStart w:id="80" w:name="_Toc8696"/>
      <w:bookmarkStart w:id="81" w:name="_Toc14632"/>
      <w:bookmarkStart w:id="82" w:name="_Toc21858"/>
      <w:bookmarkStart w:id="83" w:name="_Toc17496"/>
      <w:bookmarkStart w:id="84" w:name="_Toc21045"/>
      <w:bookmarkStart w:id="85" w:name="_Toc12513"/>
      <w:bookmarkStart w:id="86" w:name="_Toc21255"/>
      <w:bookmarkStart w:id="87" w:name="_Toc4364"/>
      <w:bookmarkStart w:id="88" w:name="_Toc1638"/>
      <w:bookmarkStart w:id="89" w:name="_Toc19219"/>
      <w:bookmarkStart w:id="90" w:name="_Toc15474"/>
      <w:bookmarkStart w:id="91" w:name="_Toc25437"/>
      <w:r>
        <w:rPr>
          <w:rFonts w:hint="eastAsia" w:ascii="黑体" w:eastAsia="黑体"/>
          <w:b/>
          <w:kern w:val="0"/>
          <w:sz w:val="36"/>
          <w:highlight w:val="none"/>
        </w:rPr>
        <w:br w:type="page"/>
      </w:r>
    </w:p>
    <w:p>
      <w:pPr>
        <w:adjustRightInd w:val="0"/>
        <w:snapToGrid w:val="0"/>
        <w:spacing w:line="360" w:lineRule="auto"/>
        <w:jc w:val="center"/>
        <w:rPr>
          <w:rFonts w:ascii="黑体" w:eastAsia="黑体"/>
          <w:bCs/>
          <w:kern w:val="0"/>
          <w:sz w:val="52"/>
          <w:szCs w:val="52"/>
          <w:highlight w:val="none"/>
        </w:rPr>
      </w:pPr>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w:t>
      </w:r>
      <w:r>
        <w:rPr>
          <w:rFonts w:hint="eastAsia" w:ascii="黑体" w:eastAsia="黑体"/>
          <w:bCs/>
          <w:kern w:val="0"/>
          <w:sz w:val="52"/>
          <w:szCs w:val="52"/>
          <w:highlight w:val="none"/>
          <w:lang w:eastAsia="zh-CN"/>
        </w:rPr>
        <w:t>监理</w:t>
      </w:r>
      <w:r>
        <w:rPr>
          <w:rFonts w:hint="eastAsia" w:ascii="黑体" w:eastAsia="黑体"/>
          <w:bCs/>
          <w:kern w:val="0"/>
          <w:sz w:val="52"/>
          <w:szCs w:val="52"/>
          <w:highlight w:val="none"/>
        </w:rPr>
        <w:t>类招标</w:t>
      </w: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r>
        <w:rPr>
          <w:rFonts w:hint="eastAsia" w:ascii="黑体" w:eastAsia="黑体"/>
          <w:bCs/>
          <w:kern w:val="0"/>
          <w:sz w:val="52"/>
          <w:szCs w:val="52"/>
          <w:highlight w:val="none"/>
        </w:rPr>
        <w:t>投 标 文 件</w:t>
      </w: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投标文件内容：</w:t>
      </w:r>
      <w:r>
        <w:rPr>
          <w:rFonts w:ascii="宋体"/>
          <w:kern w:val="0"/>
          <w:sz w:val="30"/>
          <w:szCs w:val="30"/>
          <w:highlight w:val="none"/>
        </w:rPr>
        <w:t>_______</w:t>
      </w:r>
      <w:r>
        <w:rPr>
          <w:rFonts w:hint="eastAsia" w:ascii="黑体" w:eastAsia="黑体"/>
          <w:kern w:val="0"/>
          <w:sz w:val="30"/>
          <w:szCs w:val="30"/>
          <w:highlight w:val="none"/>
          <w:u w:val="single"/>
        </w:rPr>
        <w:t>资信标部分</w:t>
      </w:r>
      <w:r>
        <w:rPr>
          <w:rFonts w:ascii="宋体"/>
          <w:kern w:val="0"/>
          <w:sz w:val="30"/>
          <w:szCs w:val="30"/>
          <w:highlight w:val="none"/>
        </w:rPr>
        <w:t>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rFonts w:hint="eastAsia" w:ascii="宋体" w:hAnsi="宋体"/>
          <w:kern w:val="0"/>
          <w:highlight w:val="none"/>
        </w:rPr>
      </w:pPr>
      <w:r>
        <w:rPr>
          <w:rFonts w:hint="eastAsia" w:ascii="宋体" w:hAnsi="宋体"/>
          <w:kern w:val="0"/>
          <w:highlight w:val="none"/>
        </w:rPr>
        <w:t>对所提供资料的真实性、准确性、有效性负全部责任。</w:t>
      </w:r>
    </w:p>
    <w:p>
      <w:pPr>
        <w:rPr>
          <w:rStyle w:val="127"/>
          <w:rFonts w:hint="eastAsia" w:ascii="黑体" w:hAnsi="黑体" w:eastAsia="黑体"/>
          <w:b w:val="0"/>
          <w:bCs w:val="0"/>
          <w:color w:val="auto"/>
          <w:sz w:val="32"/>
          <w:szCs w:val="32"/>
          <w:highlight w:val="none"/>
        </w:rPr>
      </w:pPr>
      <w:r>
        <w:rPr>
          <w:rStyle w:val="127"/>
          <w:rFonts w:hint="eastAsia" w:ascii="黑体" w:hAnsi="黑体" w:eastAsia="黑体"/>
          <w:b w:val="0"/>
          <w:bCs w:val="0"/>
          <w:color w:val="auto"/>
          <w:sz w:val="32"/>
          <w:szCs w:val="32"/>
          <w:highlight w:val="none"/>
        </w:rPr>
        <w:br w:type="page"/>
      </w:r>
    </w:p>
    <w:p>
      <w:pPr>
        <w:widowControl/>
        <w:snapToGrid w:val="0"/>
        <w:ind w:left="10" w:hanging="10"/>
        <w:jc w:val="center"/>
        <w:rPr>
          <w:rFonts w:hint="eastAsia" w:ascii="方正小标宋简体" w:hAnsi="方正小标宋简体" w:eastAsia="方正小标宋简体" w:cs="方正小标宋简体"/>
          <w:color w:val="auto"/>
          <w:sz w:val="28"/>
          <w:szCs w:val="28"/>
          <w:highlight w:val="none"/>
        </w:rPr>
      </w:pPr>
      <w:r>
        <w:rPr>
          <w:rStyle w:val="127"/>
          <w:rFonts w:hint="eastAsia" w:ascii="黑体" w:hAnsi="黑体" w:eastAsia="黑体"/>
          <w:b w:val="0"/>
          <w:bCs w:val="0"/>
          <w:color w:val="auto"/>
          <w:sz w:val="32"/>
          <w:szCs w:val="32"/>
          <w:highlight w:val="none"/>
          <w:lang w:eastAsia="zh-CN"/>
        </w:rPr>
        <w:t>资信</w:t>
      </w:r>
      <w:r>
        <w:rPr>
          <w:rStyle w:val="127"/>
          <w:rFonts w:hint="eastAsia" w:ascii="黑体" w:hAnsi="黑体" w:eastAsia="黑体"/>
          <w:b w:val="0"/>
          <w:bCs w:val="0"/>
          <w:color w:val="auto"/>
          <w:sz w:val="32"/>
          <w:szCs w:val="32"/>
          <w:highlight w:val="none"/>
        </w:rPr>
        <w:t>要素表</w:t>
      </w:r>
    </w:p>
    <w:p>
      <w:pPr>
        <w:widowControl/>
        <w:snapToGrid w:val="0"/>
        <w:ind w:left="10" w:hanging="10"/>
        <w:jc w:val="center"/>
        <w:rPr>
          <w:rFonts w:hint="eastAsia" w:ascii="方正小标宋简体" w:hAnsi="方正小标宋简体" w:eastAsia="方正小标宋简体" w:cs="方正小标宋简体"/>
          <w:color w:val="auto"/>
          <w:sz w:val="28"/>
          <w:szCs w:val="28"/>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672" w:type="dxa"/>
        <w:tblInd w:w="141" w:type="dxa"/>
        <w:tblLayout w:type="fixed"/>
        <w:tblCellMar>
          <w:top w:w="39" w:type="dxa"/>
          <w:left w:w="0" w:type="dxa"/>
          <w:bottom w:w="0" w:type="dxa"/>
          <w:right w:w="29" w:type="dxa"/>
        </w:tblCellMar>
      </w:tblPr>
      <w:tblGrid>
        <w:gridCol w:w="341"/>
        <w:gridCol w:w="1366"/>
        <w:gridCol w:w="3172"/>
        <w:gridCol w:w="1769"/>
        <w:gridCol w:w="2024"/>
      </w:tblGrid>
      <w:tr>
        <w:tblPrEx>
          <w:tblLayout w:type="fixed"/>
          <w:tblCellMar>
            <w:top w:w="39" w:type="dxa"/>
            <w:left w:w="0" w:type="dxa"/>
            <w:bottom w:w="0" w:type="dxa"/>
            <w:right w:w="29" w:type="dxa"/>
          </w:tblCellMar>
        </w:tblPrEx>
        <w:trPr>
          <w:trHeight w:val="818"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要素名称</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内容说明</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参考证明材料</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备注</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类似工程业绩</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过往与本项目类似的业绩情况及其获奖情况。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监理合同关键页、竣工验收报告关键页、获奖证书等。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投标文件中提供不超过三项。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其它代表性业绩</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投标人的其它代表性业绩及其获奖情况。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监理合同关键页、竣工验收报告关键页、获奖证书等。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不超过三项。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财务状况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投标人近年来的财务状况。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经审计的财务报表关键页等。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纳税状况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投标人近年来的纳税状况。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纳税证明等。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企业获奖情况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投标人近年来的</w:t>
            </w:r>
            <w:r>
              <w:rPr>
                <w:rFonts w:hint="eastAsia" w:ascii="宋体" w:hAnsi="宋体" w:cs="宋体"/>
                <w:color w:val="auto"/>
                <w:szCs w:val="21"/>
                <w:highlight w:val="none"/>
              </w:rPr>
              <w:t>企业获奖情况</w:t>
            </w: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获奖证书等。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rPr>
              <w:t>不超过三项，仅提供与工程监理有关的获奖。</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机构或团队状况</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lang w:val="en-US" w:eastAsia="zh-CN"/>
              </w:rPr>
              <w:t>派驻项目地</w:t>
            </w:r>
            <w:r>
              <w:rPr>
                <w:rFonts w:hint="eastAsia" w:ascii="宋体" w:hAnsi="宋体" w:cs="宋体"/>
                <w:color w:val="auto"/>
                <w:kern w:val="0"/>
                <w:szCs w:val="21"/>
                <w:highlight w:val="none"/>
              </w:rPr>
              <w:t>机构或团队状况。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营业执照</w:t>
            </w:r>
            <w:r>
              <w:rPr>
                <w:rFonts w:hint="eastAsia" w:ascii="宋体" w:hAnsi="宋体" w:cs="宋体"/>
                <w:color w:val="auto"/>
                <w:kern w:val="0"/>
                <w:szCs w:val="21"/>
                <w:highlight w:val="none"/>
                <w:lang w:val="en-US" w:eastAsia="zh-CN"/>
              </w:rPr>
              <w:t>或项目人员配备表</w:t>
            </w:r>
            <w:r>
              <w:rPr>
                <w:rFonts w:hint="eastAsia" w:ascii="宋体" w:hAnsi="宋体" w:cs="宋体"/>
                <w:color w:val="auto"/>
                <w:kern w:val="0"/>
                <w:szCs w:val="21"/>
                <w:highlight w:val="none"/>
              </w:rPr>
              <w:t>等。</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szCs w:val="21"/>
                <w:highlight w:val="none"/>
                <w:lang w:val="en-US" w:eastAsia="zh-CN"/>
              </w:rPr>
              <w:t>项目人员配备表格式投标人自拟。</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项目总监理工程师资历</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项目总监理工程师的执业资格、职称、工程业绩、获奖情况等</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相关证书或合同关键页、竣工验收报告关键页。</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szCs w:val="21"/>
                <w:highlight w:val="none"/>
              </w:rPr>
              <w:t>……</w:t>
            </w:r>
          </w:p>
        </w:tc>
        <w:tc>
          <w:tcPr>
            <w:tcW w:w="3172"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bl>
    <w:p>
      <w:pPr>
        <w:widowControl/>
        <w:ind w:hanging="8"/>
        <w:rPr>
          <w:rFonts w:hint="eastAsia" w:ascii="宋体" w:hAnsi="宋体" w:cs="宋体"/>
          <w:color w:val="auto"/>
          <w:kern w:val="0"/>
          <w:szCs w:val="21"/>
          <w:highlight w:val="none"/>
        </w:rPr>
      </w:pP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备注：</w:t>
      </w: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1.业绩、信誉不作规模、数量、等级等下限要求，获奖情况不限定奖项。投标人自行选择最具代表性的业绩、信誉编制业绩信誉标书，投标文件中业绩、信誉数量超过本表规定数量的，招标人将按规定项数选取投标文件中顺序靠前的业绩、信誉编入定标资料一览表。</w:t>
      </w:r>
    </w:p>
    <w:p>
      <w:pPr>
        <w:widowControl/>
        <w:ind w:hanging="8"/>
        <w:rPr>
          <w:rFonts w:hint="eastAsia" w:ascii="宋体" w:hAnsi="宋体" w:cs="宋体"/>
          <w:color w:val="auto"/>
          <w:kern w:val="0"/>
          <w:szCs w:val="21"/>
          <w:highlight w:val="none"/>
        </w:rPr>
      </w:pPr>
      <w:r>
        <w:rPr>
          <w:rFonts w:hint="eastAsia" w:ascii="宋体" w:hAnsi="宋体" w:cs="宋体"/>
          <w:color w:val="auto"/>
          <w:kern w:val="0"/>
          <w:szCs w:val="21"/>
          <w:highlight w:val="none"/>
        </w:rPr>
        <w:t>3.评标委员会不对</w:t>
      </w:r>
      <w:r>
        <w:rPr>
          <w:rFonts w:hint="eastAsia" w:ascii="宋体" w:hAnsi="宋体" w:cs="宋体"/>
          <w:color w:val="auto"/>
          <w:kern w:val="0"/>
          <w:szCs w:val="21"/>
          <w:highlight w:val="none"/>
          <w:lang w:eastAsia="zh-CN"/>
        </w:rPr>
        <w:t>资信标作</w:t>
      </w:r>
      <w:r>
        <w:rPr>
          <w:rFonts w:hint="eastAsia" w:ascii="宋体" w:hAnsi="宋体" w:cs="宋体"/>
          <w:color w:val="auto"/>
          <w:kern w:val="0"/>
          <w:szCs w:val="21"/>
          <w:highlight w:val="none"/>
        </w:rPr>
        <w:t>评审。</w:t>
      </w:r>
    </w:p>
    <w:p>
      <w:pPr>
        <w:adjustRightInd w:val="0"/>
        <w:snapToGrid w:val="0"/>
        <w:spacing w:line="360" w:lineRule="auto"/>
        <w:jc w:val="left"/>
        <w:rPr>
          <w:rFonts w:hint="eastAsia" w:ascii="黑体" w:eastAsia="黑体"/>
          <w:b/>
          <w:kern w:val="0"/>
          <w:sz w:val="36"/>
          <w:highlight w:val="none"/>
        </w:rPr>
      </w:pPr>
      <w:r>
        <w:rPr>
          <w:rFonts w:hint="eastAsia" w:ascii="宋体" w:hAnsi="宋体" w:cs="宋体"/>
          <w:color w:val="auto"/>
          <w:kern w:val="0"/>
          <w:szCs w:val="21"/>
          <w:highlight w:val="none"/>
        </w:rPr>
        <w:t>4.进入定标环节的投标人提供的业绩信誉情况将随评标公示在市公共资源交易中心网站公示。</w:t>
      </w:r>
      <w:r>
        <w:rPr>
          <w:rFonts w:hint="eastAsia" w:ascii="宋体" w:hAnsi="宋体" w:cs="宋体"/>
          <w:color w:val="auto"/>
          <w:kern w:val="0"/>
          <w:szCs w:val="21"/>
          <w:highlight w:val="none"/>
        </w:rPr>
        <w:br w:type="page"/>
      </w:r>
    </w:p>
    <w:p>
      <w:pPr>
        <w:adjustRightInd w:val="0"/>
        <w:snapToGrid w:val="0"/>
        <w:spacing w:line="360" w:lineRule="auto"/>
        <w:jc w:val="center"/>
        <w:outlineLvl w:val="0"/>
        <w:rPr>
          <w:rFonts w:ascii="黑体" w:eastAsia="黑体"/>
          <w:b/>
          <w:kern w:val="0"/>
          <w:sz w:val="36"/>
          <w:highlight w:val="none"/>
        </w:rPr>
      </w:pPr>
      <w:r>
        <w:rPr>
          <w:rFonts w:hint="eastAsia" w:ascii="黑体" w:eastAsia="黑体"/>
          <w:b/>
          <w:kern w:val="0"/>
          <w:sz w:val="36"/>
          <w:highlight w:val="none"/>
        </w:rPr>
        <w:t>第六章  合同条款</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rPr>
          <w:rFonts w:hint="eastAsia" w:eastAsiaTheme="minorEastAsia"/>
          <w:highlight w:val="none"/>
          <w:lang w:eastAsia="zh-CN"/>
        </w:rPr>
      </w:pPr>
      <w:r>
        <w:rPr>
          <w:rFonts w:hint="eastAsia" w:ascii="宋体" w:hAnsi="宋体"/>
          <w:kern w:val="0"/>
          <w:szCs w:val="21"/>
          <w:highlight w:val="none"/>
          <w:lang w:eastAsia="zh-CN"/>
        </w:rPr>
        <w:t>采用国家现行通用合同文本（略）</w:t>
      </w: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rFonts w:hint="eastAsia"/>
          <w:highlight w:val="none"/>
          <w:lang w:eastAsia="zh-CN"/>
        </w:rPr>
      </w:pPr>
    </w:p>
    <w:sectPr>
      <w:footerReference r:id="rId3" w:type="default"/>
      <w:pgSz w:w="11906" w:h="16838"/>
      <w:pgMar w:top="1134" w:right="1134" w:bottom="1134" w:left="1134" w:header="1247" w:footer="737" w:gutter="0"/>
      <w:cols w:space="720"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BD1C4"/>
    <w:multiLevelType w:val="singleLevel"/>
    <w:tmpl w:val="819BD1C4"/>
    <w:lvl w:ilvl="0" w:tentative="0">
      <w:start w:val="14"/>
      <w:numFmt w:val="decimal"/>
      <w:lvlText w:val="%1."/>
      <w:lvlJc w:val="left"/>
      <w:pPr>
        <w:tabs>
          <w:tab w:val="left" w:pos="420"/>
        </w:tabs>
        <w:ind w:left="425" w:leftChars="0" w:hanging="425" w:firstLineChars="0"/>
      </w:pPr>
      <w:rPr>
        <w:rFonts w:hint="default"/>
      </w:rPr>
    </w:lvl>
  </w:abstractNum>
  <w:abstractNum w:abstractNumId="1">
    <w:nsid w:val="D4AD7967"/>
    <w:multiLevelType w:val="multilevel"/>
    <w:tmpl w:val="D4AD7967"/>
    <w:lvl w:ilvl="0" w:tentative="0">
      <w:start w:val="8"/>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EC37743A"/>
    <w:multiLevelType w:val="multilevel"/>
    <w:tmpl w:val="EC37743A"/>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E29FDA9"/>
    <w:multiLevelType w:val="multilevel"/>
    <w:tmpl w:val="0E29FDA9"/>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12BFE1BC"/>
    <w:multiLevelType w:val="singleLevel"/>
    <w:tmpl w:val="12BFE1BC"/>
    <w:lvl w:ilvl="0" w:tentative="0">
      <w:start w:val="1"/>
      <w:numFmt w:val="decimal"/>
      <w:lvlText w:val="(%1)"/>
      <w:lvlJc w:val="left"/>
      <w:pPr>
        <w:ind w:left="425" w:hanging="425"/>
      </w:pPr>
      <w:rPr>
        <w:rFonts w:hint="default"/>
      </w:rPr>
    </w:lvl>
  </w:abstractNum>
  <w:abstractNum w:abstractNumId="6">
    <w:nsid w:val="15446675"/>
    <w:multiLevelType w:val="multilevel"/>
    <w:tmpl w:val="15446675"/>
    <w:lvl w:ilvl="0" w:tentative="0">
      <w:start w:val="1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1A89CDC2"/>
    <w:multiLevelType w:val="multilevel"/>
    <w:tmpl w:val="1A89CDC2"/>
    <w:lvl w:ilvl="0" w:tentative="0">
      <w:start w:val="7"/>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296030C2"/>
    <w:multiLevelType w:val="singleLevel"/>
    <w:tmpl w:val="296030C2"/>
    <w:lvl w:ilvl="0" w:tentative="0">
      <w:start w:val="1"/>
      <w:numFmt w:val="decimal"/>
      <w:lvlText w:val="%1."/>
      <w:lvlJc w:val="left"/>
      <w:pPr>
        <w:ind w:left="425" w:hanging="425"/>
      </w:pPr>
      <w:rPr>
        <w:rFonts w:hint="default"/>
      </w:rPr>
    </w:lvl>
  </w:abstractNum>
  <w:abstractNum w:abstractNumId="9">
    <w:nsid w:val="2CF7C8CB"/>
    <w:multiLevelType w:val="multilevel"/>
    <w:tmpl w:val="2CF7C8CB"/>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2FE2F68D"/>
    <w:multiLevelType w:val="multilevel"/>
    <w:tmpl w:val="2FE2F68D"/>
    <w:lvl w:ilvl="0" w:tentative="0">
      <w:start w:val="5"/>
      <w:numFmt w:val="decimal"/>
      <w:lvlText w:val="%1."/>
      <w:lvlJc w:val="left"/>
      <w:pPr>
        <w:ind w:left="425" w:hanging="425"/>
      </w:pPr>
      <w:rPr>
        <w:rFonts w:hint="default" w:ascii="宋体" w:hAnsi="宋体" w:eastAsia="宋体" w:cs="宋体"/>
        <w:b/>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3BDBDFDE"/>
    <w:multiLevelType w:val="multilevel"/>
    <w:tmpl w:val="3BDBDFDE"/>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55BD5ABA"/>
    <w:multiLevelType w:val="multilevel"/>
    <w:tmpl w:val="55BD5ABA"/>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2"/>
  </w:num>
  <w:num w:numId="2">
    <w:abstractNumId w:val="3"/>
  </w:num>
  <w:num w:numId="3">
    <w:abstractNumId w:val="8"/>
  </w:num>
  <w:num w:numId="4">
    <w:abstractNumId w:val="6"/>
  </w:num>
  <w:num w:numId="5">
    <w:abstractNumId w:val="0"/>
  </w:num>
  <w:num w:numId="6">
    <w:abstractNumId w:val="11"/>
  </w:num>
  <w:num w:numId="7">
    <w:abstractNumId w:val="4"/>
  </w:num>
  <w:num w:numId="8">
    <w:abstractNumId w:val="2"/>
  </w:num>
  <w:num w:numId="9">
    <w:abstractNumId w:val="10"/>
  </w:num>
  <w:num w:numId="10">
    <w:abstractNumId w:val="5"/>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A"/>
    <w:rsid w:val="00005A05"/>
    <w:rsid w:val="000C2473"/>
    <w:rsid w:val="002D0A40"/>
    <w:rsid w:val="00362199"/>
    <w:rsid w:val="005651E2"/>
    <w:rsid w:val="00572956"/>
    <w:rsid w:val="0098207A"/>
    <w:rsid w:val="00A51EB6"/>
    <w:rsid w:val="00BB4731"/>
    <w:rsid w:val="00C55466"/>
    <w:rsid w:val="00C6526C"/>
    <w:rsid w:val="00DF73EB"/>
    <w:rsid w:val="00E1509A"/>
    <w:rsid w:val="00FF2678"/>
    <w:rsid w:val="00FF4482"/>
    <w:rsid w:val="01222861"/>
    <w:rsid w:val="01867F1A"/>
    <w:rsid w:val="01C10994"/>
    <w:rsid w:val="0299231A"/>
    <w:rsid w:val="03C12816"/>
    <w:rsid w:val="04237AB5"/>
    <w:rsid w:val="063B7459"/>
    <w:rsid w:val="064B2F7D"/>
    <w:rsid w:val="06737676"/>
    <w:rsid w:val="075D28A2"/>
    <w:rsid w:val="07755508"/>
    <w:rsid w:val="07991B28"/>
    <w:rsid w:val="07C92500"/>
    <w:rsid w:val="07EC1464"/>
    <w:rsid w:val="08AD0891"/>
    <w:rsid w:val="08EB573C"/>
    <w:rsid w:val="0A174CC3"/>
    <w:rsid w:val="0A735912"/>
    <w:rsid w:val="0B0C586D"/>
    <w:rsid w:val="0B3026AC"/>
    <w:rsid w:val="0B680E11"/>
    <w:rsid w:val="0B927DEF"/>
    <w:rsid w:val="0DE85114"/>
    <w:rsid w:val="0DEC1223"/>
    <w:rsid w:val="0E034681"/>
    <w:rsid w:val="0EF50997"/>
    <w:rsid w:val="0FDA692C"/>
    <w:rsid w:val="105C4B03"/>
    <w:rsid w:val="126B421A"/>
    <w:rsid w:val="12811D90"/>
    <w:rsid w:val="12D66B8C"/>
    <w:rsid w:val="134E102A"/>
    <w:rsid w:val="1500050D"/>
    <w:rsid w:val="15C63ED2"/>
    <w:rsid w:val="16506AB2"/>
    <w:rsid w:val="167C4D2B"/>
    <w:rsid w:val="16FA13CC"/>
    <w:rsid w:val="174011A5"/>
    <w:rsid w:val="17700918"/>
    <w:rsid w:val="179D4832"/>
    <w:rsid w:val="179E3819"/>
    <w:rsid w:val="181576A6"/>
    <w:rsid w:val="1890779B"/>
    <w:rsid w:val="18F964D4"/>
    <w:rsid w:val="1A491EAB"/>
    <w:rsid w:val="1AEC2D90"/>
    <w:rsid w:val="1B081CA6"/>
    <w:rsid w:val="1B7D7443"/>
    <w:rsid w:val="1BAF670B"/>
    <w:rsid w:val="1D037BF4"/>
    <w:rsid w:val="1D083BD1"/>
    <w:rsid w:val="1D1E5E54"/>
    <w:rsid w:val="1D3266E0"/>
    <w:rsid w:val="1D8471BC"/>
    <w:rsid w:val="1D8475C7"/>
    <w:rsid w:val="1E036516"/>
    <w:rsid w:val="1ED73A6B"/>
    <w:rsid w:val="1F1158B7"/>
    <w:rsid w:val="1F4F6EE0"/>
    <w:rsid w:val="1F5D3E47"/>
    <w:rsid w:val="1F984DAC"/>
    <w:rsid w:val="1FDBD650"/>
    <w:rsid w:val="20435813"/>
    <w:rsid w:val="20B65A04"/>
    <w:rsid w:val="2250672D"/>
    <w:rsid w:val="225B3641"/>
    <w:rsid w:val="22B57588"/>
    <w:rsid w:val="236D38BC"/>
    <w:rsid w:val="23E31976"/>
    <w:rsid w:val="24254E86"/>
    <w:rsid w:val="258E3BBE"/>
    <w:rsid w:val="25970AA1"/>
    <w:rsid w:val="25BFD18B"/>
    <w:rsid w:val="26621B57"/>
    <w:rsid w:val="26693313"/>
    <w:rsid w:val="272A59B9"/>
    <w:rsid w:val="27856FF7"/>
    <w:rsid w:val="27E24CA5"/>
    <w:rsid w:val="281E0E9A"/>
    <w:rsid w:val="284C68BF"/>
    <w:rsid w:val="290A7C84"/>
    <w:rsid w:val="29F866AA"/>
    <w:rsid w:val="2A051DC6"/>
    <w:rsid w:val="2C426808"/>
    <w:rsid w:val="2C554B1F"/>
    <w:rsid w:val="2C9E3311"/>
    <w:rsid w:val="2CAA69B0"/>
    <w:rsid w:val="2CAD1973"/>
    <w:rsid w:val="2CDC4369"/>
    <w:rsid w:val="2D4B6F70"/>
    <w:rsid w:val="2D5219A3"/>
    <w:rsid w:val="2E23150F"/>
    <w:rsid w:val="2EAC1A9E"/>
    <w:rsid w:val="2EFA69FD"/>
    <w:rsid w:val="31431966"/>
    <w:rsid w:val="316E3FA4"/>
    <w:rsid w:val="31756581"/>
    <w:rsid w:val="31D67BED"/>
    <w:rsid w:val="31D7094D"/>
    <w:rsid w:val="33777298"/>
    <w:rsid w:val="3508495E"/>
    <w:rsid w:val="355E11CF"/>
    <w:rsid w:val="35C47451"/>
    <w:rsid w:val="36E77AF0"/>
    <w:rsid w:val="36EA745C"/>
    <w:rsid w:val="37A7047F"/>
    <w:rsid w:val="37DBB221"/>
    <w:rsid w:val="38642775"/>
    <w:rsid w:val="39A7E88F"/>
    <w:rsid w:val="39DA6A6C"/>
    <w:rsid w:val="3A230E4A"/>
    <w:rsid w:val="3A707882"/>
    <w:rsid w:val="3A8F587C"/>
    <w:rsid w:val="3ACE2A23"/>
    <w:rsid w:val="3CB51815"/>
    <w:rsid w:val="3CEE22CF"/>
    <w:rsid w:val="3D700AEA"/>
    <w:rsid w:val="3E8829A0"/>
    <w:rsid w:val="3E941DDE"/>
    <w:rsid w:val="3F6E5F97"/>
    <w:rsid w:val="3FE528AA"/>
    <w:rsid w:val="40274928"/>
    <w:rsid w:val="422A6FDD"/>
    <w:rsid w:val="424F2BA2"/>
    <w:rsid w:val="42560E68"/>
    <w:rsid w:val="431C1159"/>
    <w:rsid w:val="44001CCE"/>
    <w:rsid w:val="44702D04"/>
    <w:rsid w:val="45437E89"/>
    <w:rsid w:val="45FF16F2"/>
    <w:rsid w:val="46EB4DC8"/>
    <w:rsid w:val="485673C8"/>
    <w:rsid w:val="48A1470B"/>
    <w:rsid w:val="49EA0D7A"/>
    <w:rsid w:val="4AA3362A"/>
    <w:rsid w:val="4AD91168"/>
    <w:rsid w:val="4B6879A9"/>
    <w:rsid w:val="4C1710F2"/>
    <w:rsid w:val="4DE65500"/>
    <w:rsid w:val="4E976C7C"/>
    <w:rsid w:val="4F094EEF"/>
    <w:rsid w:val="4FA8127B"/>
    <w:rsid w:val="4FFF01E4"/>
    <w:rsid w:val="50D73294"/>
    <w:rsid w:val="50E31367"/>
    <w:rsid w:val="51033507"/>
    <w:rsid w:val="53356077"/>
    <w:rsid w:val="53EB39D4"/>
    <w:rsid w:val="546C2C8D"/>
    <w:rsid w:val="5526344E"/>
    <w:rsid w:val="57280663"/>
    <w:rsid w:val="574B44DA"/>
    <w:rsid w:val="57E442BD"/>
    <w:rsid w:val="57EB948D"/>
    <w:rsid w:val="599647C8"/>
    <w:rsid w:val="5A062864"/>
    <w:rsid w:val="5AA14FF6"/>
    <w:rsid w:val="5B8E29E6"/>
    <w:rsid w:val="5C5A7F10"/>
    <w:rsid w:val="5CBA64C6"/>
    <w:rsid w:val="5D027174"/>
    <w:rsid w:val="5D3212FB"/>
    <w:rsid w:val="5D4B67F1"/>
    <w:rsid w:val="5D8B4A36"/>
    <w:rsid w:val="5DA06C8E"/>
    <w:rsid w:val="5E3B40ED"/>
    <w:rsid w:val="5E6E6CAA"/>
    <w:rsid w:val="5F3F3B51"/>
    <w:rsid w:val="5FFA0A86"/>
    <w:rsid w:val="605E099A"/>
    <w:rsid w:val="60B264F8"/>
    <w:rsid w:val="624A1C3D"/>
    <w:rsid w:val="626336E7"/>
    <w:rsid w:val="62AA2E12"/>
    <w:rsid w:val="62BB7753"/>
    <w:rsid w:val="63A73EF7"/>
    <w:rsid w:val="63F078A7"/>
    <w:rsid w:val="64B4766E"/>
    <w:rsid w:val="665F7D50"/>
    <w:rsid w:val="6666555A"/>
    <w:rsid w:val="668A4D76"/>
    <w:rsid w:val="66D84A61"/>
    <w:rsid w:val="68546CAA"/>
    <w:rsid w:val="68F30C8A"/>
    <w:rsid w:val="69AC2163"/>
    <w:rsid w:val="69C81D37"/>
    <w:rsid w:val="6A137482"/>
    <w:rsid w:val="6AA033D3"/>
    <w:rsid w:val="6B8C32B3"/>
    <w:rsid w:val="6BEB70C0"/>
    <w:rsid w:val="6C25422C"/>
    <w:rsid w:val="6C5104E3"/>
    <w:rsid w:val="6D8002F0"/>
    <w:rsid w:val="6D9C125A"/>
    <w:rsid w:val="6DA64CC8"/>
    <w:rsid w:val="6DF02D94"/>
    <w:rsid w:val="6F492E88"/>
    <w:rsid w:val="6F7531F3"/>
    <w:rsid w:val="6F76E298"/>
    <w:rsid w:val="702C0BE7"/>
    <w:rsid w:val="70A03013"/>
    <w:rsid w:val="70E013B8"/>
    <w:rsid w:val="7139604F"/>
    <w:rsid w:val="714F46F6"/>
    <w:rsid w:val="71644406"/>
    <w:rsid w:val="72023EDE"/>
    <w:rsid w:val="738F72FF"/>
    <w:rsid w:val="7425000B"/>
    <w:rsid w:val="744B41F5"/>
    <w:rsid w:val="744D075D"/>
    <w:rsid w:val="7531CD81"/>
    <w:rsid w:val="75391D1B"/>
    <w:rsid w:val="778C1E75"/>
    <w:rsid w:val="77A702EC"/>
    <w:rsid w:val="77D655FF"/>
    <w:rsid w:val="78295790"/>
    <w:rsid w:val="785D3B28"/>
    <w:rsid w:val="78C654CF"/>
    <w:rsid w:val="794757AD"/>
    <w:rsid w:val="79B20162"/>
    <w:rsid w:val="7A511811"/>
    <w:rsid w:val="7B9D26D9"/>
    <w:rsid w:val="7BAC0B2E"/>
    <w:rsid w:val="7BEFD4B5"/>
    <w:rsid w:val="7D3A5278"/>
    <w:rsid w:val="7D790369"/>
    <w:rsid w:val="7E923575"/>
    <w:rsid w:val="7F545896"/>
    <w:rsid w:val="7F9072EE"/>
    <w:rsid w:val="84F70B3F"/>
    <w:rsid w:val="B66F076C"/>
    <w:rsid w:val="BA7B23C6"/>
    <w:rsid w:val="BB1ED8D2"/>
    <w:rsid w:val="BDF8D906"/>
    <w:rsid w:val="CDFB9EFA"/>
    <w:rsid w:val="DFFEBB2A"/>
    <w:rsid w:val="E75F51C2"/>
    <w:rsid w:val="EB7FDA94"/>
    <w:rsid w:val="EBFD3339"/>
    <w:rsid w:val="EF5F8164"/>
    <w:rsid w:val="FB3F69C3"/>
    <w:rsid w:val="FEC77535"/>
    <w:rsid w:val="FEE760C5"/>
    <w:rsid w:val="FEF7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uiPriority="99"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semiHidden="0" w:name="Title"/>
    <w:lsdException w:qFormat="1" w:unhideWhenUsed="0" w:uiPriority="0" w:name="Closing"/>
    <w:lsdException w:qFormat="1" w:unhideWhenUsed="0" w:uiPriority="0" w:name="Signature"/>
    <w:lsdException w:qFormat="1" w:uiPriority="1" w:name="Default Paragraph Font"/>
    <w:lsdException w:qFormat="1" w:uiPriority="99" w:name="Body Text"/>
    <w:lsdException w:qFormat="1" w:uiPriority="99"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iPriority="0" w:name="Date"/>
    <w:lsdException w:qFormat="1" w:unhideWhenUsed="0" w:uiPriority="0" w:name="Body Text First Indent"/>
    <w:lsdException w:qFormat="1" w:unhideWhenUsed="0" w:uiPriority="0" w:name="Body Text First Indent 2"/>
    <w:lsdException w:qFormat="1" w:unhideWhenUsed="0" w:uiPriority="0" w:name="Note Heading"/>
    <w:lsdException w:uiPriority="99" w:name="Body Text 2"/>
    <w:lsdException w:qFormat="1" w:unhideWhenUsed="0" w:uiPriority="0" w:name="Body Text 3"/>
    <w:lsdException w:qFormat="1" w:unhideWhenUsed="0" w:uiPriority="0" w:name="Body Text Indent 2"/>
    <w:lsdException w:uiPriority="99" w:name="Body Text Indent 3"/>
    <w:lsdException w:qFormat="1" w:unhideWhenUsed="0"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0" w:semiHidden="0" w:name="Plain Text"/>
    <w:lsdException w:qFormat="1" w:unhideWhenUsed="0" w:uiPriority="0" w:name="E-mail Signature"/>
    <w:lsdException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3"/>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44"/>
    <w:qFormat/>
    <w:uiPriority w:val="0"/>
    <w:pPr>
      <w:keepNext/>
      <w:keepLines/>
      <w:spacing w:before="260" w:after="260" w:line="416" w:lineRule="auto"/>
      <w:ind w:left="720" w:hanging="432"/>
      <w:outlineLvl w:val="2"/>
    </w:pPr>
    <w:rPr>
      <w:b/>
      <w:bCs/>
      <w:sz w:val="32"/>
      <w:szCs w:val="32"/>
    </w:rPr>
  </w:style>
  <w:style w:type="paragraph" w:styleId="6">
    <w:name w:val="heading 4"/>
    <w:basedOn w:val="1"/>
    <w:next w:val="1"/>
    <w:link w:val="145"/>
    <w:qFormat/>
    <w:uiPriority w:val="0"/>
    <w:pPr>
      <w:keepNext/>
      <w:keepLines/>
      <w:spacing w:before="280" w:after="290" w:line="376" w:lineRule="auto"/>
      <w:ind w:left="864" w:hanging="144"/>
      <w:outlineLvl w:val="3"/>
    </w:pPr>
    <w:rPr>
      <w:rFonts w:asciiTheme="majorHAnsi" w:hAnsiTheme="majorHAnsi" w:eastAsiaTheme="majorEastAsia" w:cstheme="majorBidi"/>
      <w:b/>
      <w:bCs/>
      <w:sz w:val="28"/>
      <w:szCs w:val="28"/>
    </w:rPr>
  </w:style>
  <w:style w:type="paragraph" w:styleId="7">
    <w:name w:val="heading 5"/>
    <w:basedOn w:val="1"/>
    <w:next w:val="1"/>
    <w:link w:val="146"/>
    <w:qFormat/>
    <w:uiPriority w:val="0"/>
    <w:pPr>
      <w:keepNext/>
      <w:keepLines/>
      <w:spacing w:before="280" w:after="290" w:line="376" w:lineRule="auto"/>
      <w:ind w:left="1008" w:hanging="432"/>
      <w:outlineLvl w:val="4"/>
    </w:pPr>
    <w:rPr>
      <w:b/>
      <w:bCs/>
      <w:sz w:val="28"/>
      <w:szCs w:val="28"/>
    </w:rPr>
  </w:style>
  <w:style w:type="paragraph" w:styleId="8">
    <w:name w:val="heading 6"/>
    <w:basedOn w:val="1"/>
    <w:next w:val="1"/>
    <w:link w:val="147"/>
    <w:qFormat/>
    <w:uiPriority w:val="0"/>
    <w:pPr>
      <w:keepNext/>
      <w:keepLines/>
      <w:spacing w:before="240" w:after="64" w:line="320" w:lineRule="auto"/>
      <w:ind w:left="1152" w:hanging="432"/>
      <w:outlineLvl w:val="5"/>
    </w:pPr>
    <w:rPr>
      <w:rFonts w:asciiTheme="majorHAnsi" w:hAnsiTheme="majorHAnsi" w:eastAsiaTheme="majorEastAsia" w:cstheme="majorBidi"/>
      <w:b/>
      <w:bCs/>
      <w:sz w:val="24"/>
      <w:szCs w:val="24"/>
    </w:rPr>
  </w:style>
  <w:style w:type="paragraph" w:styleId="9">
    <w:name w:val="heading 7"/>
    <w:basedOn w:val="1"/>
    <w:next w:val="1"/>
    <w:link w:val="148"/>
    <w:qFormat/>
    <w:uiPriority w:val="0"/>
    <w:pPr>
      <w:keepNext/>
      <w:keepLines/>
      <w:spacing w:before="240" w:after="64" w:line="320" w:lineRule="auto"/>
      <w:ind w:left="1296" w:hanging="288"/>
      <w:outlineLvl w:val="6"/>
    </w:pPr>
    <w:rPr>
      <w:b/>
      <w:bCs/>
      <w:sz w:val="24"/>
      <w:szCs w:val="24"/>
    </w:rPr>
  </w:style>
  <w:style w:type="paragraph" w:styleId="10">
    <w:name w:val="heading 8"/>
    <w:basedOn w:val="1"/>
    <w:next w:val="1"/>
    <w:link w:val="149"/>
    <w:qFormat/>
    <w:uiPriority w:val="0"/>
    <w:pPr>
      <w:keepNext/>
      <w:keepLines/>
      <w:spacing w:before="240" w:after="64" w:line="320" w:lineRule="auto"/>
      <w:ind w:left="1440" w:hanging="432"/>
      <w:outlineLvl w:val="7"/>
    </w:pPr>
    <w:rPr>
      <w:rFonts w:asciiTheme="majorHAnsi" w:hAnsiTheme="majorHAnsi" w:eastAsiaTheme="majorEastAsia" w:cstheme="majorBidi"/>
      <w:sz w:val="24"/>
      <w:szCs w:val="24"/>
    </w:rPr>
  </w:style>
  <w:style w:type="paragraph" w:styleId="11">
    <w:name w:val="heading 9"/>
    <w:basedOn w:val="1"/>
    <w:next w:val="1"/>
    <w:link w:val="150"/>
    <w:qFormat/>
    <w:uiPriority w:val="0"/>
    <w:pPr>
      <w:keepNext/>
      <w:keepLines/>
      <w:spacing w:before="240" w:after="64" w:line="320" w:lineRule="auto"/>
      <w:ind w:left="1584" w:hanging="144"/>
      <w:outlineLvl w:val="8"/>
    </w:pPr>
    <w:rPr>
      <w:rFonts w:asciiTheme="majorHAnsi" w:hAnsiTheme="majorHAnsi" w:eastAsiaTheme="majorEastAsia" w:cstheme="majorBidi"/>
      <w:szCs w:val="21"/>
    </w:rPr>
  </w:style>
  <w:style w:type="character" w:default="1" w:styleId="125">
    <w:name w:val="Default Paragraph Font"/>
    <w:link w:val="126"/>
    <w:semiHidden/>
    <w:unhideWhenUsed/>
    <w:qFormat/>
    <w:uiPriority w:val="1"/>
  </w:style>
  <w:style w:type="table" w:default="1" w:styleId="8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2"/>
    <w:qFormat/>
    <w:uiPriority w:val="0"/>
    <w:pPr>
      <w:widowControl w:val="0"/>
      <w:jc w:val="both"/>
    </w:pPr>
    <w:rPr>
      <w:rFonts w:ascii="Calibri" w:hAnsi="Calibri" w:eastAsia="宋体" w:cs="Times New Roman"/>
      <w:kern w:val="2"/>
      <w:sz w:val="21"/>
      <w:szCs w:val="22"/>
      <w:lang w:val="en-US" w:eastAsia="zh-CN" w:bidi="ar-SA"/>
    </w:rPr>
  </w:style>
  <w:style w:type="paragraph" w:styleId="12">
    <w:name w:val="List 3"/>
    <w:basedOn w:val="1"/>
    <w:semiHidden/>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semiHidden/>
    <w:qFormat/>
    <w:uiPriority w:val="0"/>
    <w:pPr>
      <w:ind w:left="1260"/>
      <w:jc w:val="left"/>
    </w:pPr>
    <w:rPr>
      <w:rFonts w:ascii="Times New Roman" w:hAnsi="Times New Roman" w:eastAsia="宋体" w:cs="Times New Roman"/>
      <w:sz w:val="18"/>
      <w:szCs w:val="18"/>
    </w:rPr>
  </w:style>
  <w:style w:type="paragraph" w:styleId="14">
    <w:name w:val="List Number 2"/>
    <w:basedOn w:val="1"/>
    <w:semiHidden/>
    <w:qFormat/>
    <w:uiPriority w:val="0"/>
    <w:pPr>
      <w:tabs>
        <w:tab w:val="left" w:pos="780"/>
      </w:tabs>
      <w:ind w:left="780" w:hanging="360"/>
    </w:pPr>
    <w:rPr>
      <w:rFonts w:ascii="Times New Roman" w:hAnsi="Times New Roman" w:eastAsia="宋体" w:cs="Times New Roman"/>
      <w:szCs w:val="24"/>
    </w:rPr>
  </w:style>
  <w:style w:type="paragraph" w:styleId="15">
    <w:name w:val="Note Heading"/>
    <w:basedOn w:val="1"/>
    <w:next w:val="1"/>
    <w:link w:val="154"/>
    <w:semiHidden/>
    <w:qFormat/>
    <w:uiPriority w:val="0"/>
    <w:pPr>
      <w:jc w:val="center"/>
    </w:pPr>
    <w:rPr>
      <w:rFonts w:ascii="Times New Roman" w:hAnsi="Times New Roman" w:eastAsia="宋体" w:cs="Times New Roman"/>
      <w:szCs w:val="24"/>
    </w:rPr>
  </w:style>
  <w:style w:type="paragraph" w:styleId="16">
    <w:name w:val="List Bullet 4"/>
    <w:basedOn w:val="1"/>
    <w:semiHidden/>
    <w:qFormat/>
    <w:uiPriority w:val="0"/>
    <w:pPr>
      <w:tabs>
        <w:tab w:val="left" w:pos="1620"/>
      </w:tabs>
      <w:ind w:left="1620" w:hanging="360"/>
    </w:pPr>
    <w:rPr>
      <w:rFonts w:ascii="Times New Roman" w:hAnsi="Times New Roman" w:eastAsia="宋体" w:cs="Times New Roman"/>
      <w:szCs w:val="24"/>
    </w:rPr>
  </w:style>
  <w:style w:type="paragraph" w:styleId="17">
    <w:name w:val="index 8"/>
    <w:basedOn w:val="1"/>
    <w:next w:val="1"/>
    <w:semiHidden/>
    <w:qFormat/>
    <w:uiPriority w:val="0"/>
    <w:pPr>
      <w:ind w:left="1680" w:hanging="210"/>
      <w:jc w:val="left"/>
    </w:pPr>
    <w:rPr>
      <w:rFonts w:ascii="Times New Roman" w:hAnsi="Times New Roman" w:eastAsia="宋体" w:cs="Times New Roman"/>
      <w:sz w:val="20"/>
      <w:szCs w:val="20"/>
    </w:rPr>
  </w:style>
  <w:style w:type="paragraph" w:styleId="18">
    <w:name w:val="E-mail Signature"/>
    <w:basedOn w:val="1"/>
    <w:link w:val="156"/>
    <w:semiHidden/>
    <w:qFormat/>
    <w:uiPriority w:val="0"/>
    <w:rPr>
      <w:rFonts w:ascii="Times New Roman" w:hAnsi="Times New Roman" w:eastAsia="宋体" w:cs="Times New Roman"/>
      <w:szCs w:val="24"/>
    </w:rPr>
  </w:style>
  <w:style w:type="paragraph" w:styleId="19">
    <w:name w:val="List Number"/>
    <w:basedOn w:val="1"/>
    <w:semiHidden/>
    <w:qFormat/>
    <w:uiPriority w:val="0"/>
    <w:pPr>
      <w:tabs>
        <w:tab w:val="left" w:pos="360"/>
      </w:tabs>
      <w:ind w:left="360" w:hanging="360"/>
    </w:pPr>
    <w:rPr>
      <w:rFonts w:ascii="Times New Roman" w:hAnsi="Times New Roman" w:eastAsia="宋体" w:cs="Times New Roman"/>
      <w:szCs w:val="24"/>
    </w:rPr>
  </w:style>
  <w:style w:type="paragraph" w:styleId="20">
    <w:name w:val="index 5"/>
    <w:basedOn w:val="1"/>
    <w:next w:val="1"/>
    <w:semiHidden/>
    <w:qFormat/>
    <w:uiPriority w:val="0"/>
    <w:pPr>
      <w:ind w:left="1050" w:hanging="210"/>
      <w:jc w:val="left"/>
    </w:pPr>
    <w:rPr>
      <w:rFonts w:ascii="Times New Roman" w:hAnsi="Times New Roman" w:eastAsia="宋体" w:cs="Times New Roman"/>
      <w:sz w:val="20"/>
      <w:szCs w:val="20"/>
    </w:rPr>
  </w:style>
  <w:style w:type="paragraph" w:styleId="21">
    <w:name w:val="List Bullet"/>
    <w:basedOn w:val="1"/>
    <w:semiHidden/>
    <w:qFormat/>
    <w:uiPriority w:val="0"/>
    <w:pPr>
      <w:tabs>
        <w:tab w:val="left" w:pos="360"/>
      </w:tabs>
      <w:ind w:left="360" w:hanging="360"/>
    </w:pPr>
    <w:rPr>
      <w:rFonts w:ascii="Times New Roman" w:hAnsi="Times New Roman" w:eastAsia="宋体" w:cs="Times New Roman"/>
      <w:szCs w:val="24"/>
    </w:rPr>
  </w:style>
  <w:style w:type="paragraph" w:styleId="2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eastAsia="宋体" w:cs="Arial"/>
      <w:sz w:val="24"/>
      <w:szCs w:val="24"/>
    </w:rPr>
  </w:style>
  <w:style w:type="paragraph" w:styleId="23">
    <w:name w:val="Document Map"/>
    <w:basedOn w:val="1"/>
    <w:link w:val="159"/>
    <w:qFormat/>
    <w:uiPriority w:val="0"/>
    <w:pPr>
      <w:shd w:val="clear" w:color="auto" w:fill="000080"/>
    </w:pPr>
    <w:rPr>
      <w:rFonts w:ascii="Times New Roman" w:hAnsi="Times New Roman" w:eastAsia="宋体" w:cs="Times New Roman"/>
      <w:szCs w:val="20"/>
    </w:rPr>
  </w:style>
  <w:style w:type="paragraph" w:styleId="24">
    <w:name w:val="toa heading"/>
    <w:basedOn w:val="1"/>
    <w:next w:val="1"/>
    <w:semiHidden/>
    <w:qFormat/>
    <w:uiPriority w:val="0"/>
    <w:pPr>
      <w:autoSpaceDE w:val="0"/>
      <w:autoSpaceDN w:val="0"/>
      <w:adjustRightInd w:val="0"/>
      <w:spacing w:before="120" w:after="60" w:line="360" w:lineRule="auto"/>
      <w:ind w:right="-425"/>
    </w:pPr>
    <w:rPr>
      <w:rFonts w:ascii="Arial" w:hAnsi="Arial" w:eastAsia="宋体" w:cs="Times New Roman"/>
      <w:color w:val="000000"/>
      <w:sz w:val="24"/>
      <w:szCs w:val="20"/>
    </w:rPr>
  </w:style>
  <w:style w:type="paragraph" w:styleId="25">
    <w:name w:val="annotation text"/>
    <w:basedOn w:val="1"/>
    <w:link w:val="179"/>
    <w:semiHidden/>
    <w:unhideWhenUsed/>
    <w:qFormat/>
    <w:uiPriority w:val="0"/>
    <w:pPr>
      <w:jc w:val="left"/>
    </w:pPr>
    <w:rPr>
      <w:rFonts w:ascii="Times New Roman" w:hAnsi="Times New Roman" w:eastAsia="宋体" w:cs="Times New Roman"/>
      <w:szCs w:val="20"/>
    </w:rPr>
  </w:style>
  <w:style w:type="paragraph" w:styleId="26">
    <w:name w:val="index 6"/>
    <w:basedOn w:val="1"/>
    <w:next w:val="1"/>
    <w:semiHidden/>
    <w:qFormat/>
    <w:uiPriority w:val="0"/>
    <w:pPr>
      <w:ind w:left="1260" w:hanging="210"/>
      <w:jc w:val="left"/>
    </w:pPr>
    <w:rPr>
      <w:rFonts w:ascii="Times New Roman" w:hAnsi="Times New Roman" w:eastAsia="宋体" w:cs="Times New Roman"/>
      <w:sz w:val="20"/>
      <w:szCs w:val="20"/>
    </w:rPr>
  </w:style>
  <w:style w:type="paragraph" w:styleId="27">
    <w:name w:val="Salutation"/>
    <w:basedOn w:val="1"/>
    <w:next w:val="1"/>
    <w:link w:val="170"/>
    <w:semiHidden/>
    <w:qFormat/>
    <w:uiPriority w:val="0"/>
    <w:rPr>
      <w:rFonts w:ascii="Times New Roman" w:hAnsi="Times New Roman" w:eastAsia="宋体" w:cs="Times New Roman"/>
      <w:szCs w:val="24"/>
    </w:rPr>
  </w:style>
  <w:style w:type="paragraph" w:styleId="28">
    <w:name w:val="Body Text 3"/>
    <w:basedOn w:val="1"/>
    <w:link w:val="161"/>
    <w:semiHidden/>
    <w:qFormat/>
    <w:uiPriority w:val="0"/>
    <w:pPr>
      <w:spacing w:after="120"/>
    </w:pPr>
    <w:rPr>
      <w:rFonts w:ascii="Times New Roman" w:hAnsi="Times New Roman" w:eastAsia="宋体" w:cs="Times New Roman"/>
      <w:sz w:val="16"/>
      <w:szCs w:val="16"/>
    </w:rPr>
  </w:style>
  <w:style w:type="paragraph" w:styleId="29">
    <w:name w:val="Closing"/>
    <w:basedOn w:val="1"/>
    <w:link w:val="171"/>
    <w:semiHidden/>
    <w:qFormat/>
    <w:uiPriority w:val="0"/>
    <w:pPr>
      <w:ind w:left="100" w:leftChars="2100"/>
    </w:pPr>
    <w:rPr>
      <w:rFonts w:ascii="Times New Roman" w:hAnsi="Times New Roman" w:eastAsia="宋体" w:cs="Times New Roman"/>
      <w:szCs w:val="24"/>
    </w:rPr>
  </w:style>
  <w:style w:type="paragraph" w:styleId="30">
    <w:name w:val="List Bullet 3"/>
    <w:basedOn w:val="1"/>
    <w:semiHidden/>
    <w:qFormat/>
    <w:uiPriority w:val="0"/>
    <w:pPr>
      <w:tabs>
        <w:tab w:val="left" w:pos="1200"/>
      </w:tabs>
      <w:ind w:left="1200" w:hanging="360"/>
    </w:pPr>
    <w:rPr>
      <w:rFonts w:ascii="Times New Roman" w:hAnsi="Times New Roman" w:eastAsia="宋体" w:cs="Times New Roman"/>
      <w:szCs w:val="24"/>
    </w:rPr>
  </w:style>
  <w:style w:type="paragraph" w:styleId="31">
    <w:name w:val="Body Text"/>
    <w:basedOn w:val="1"/>
    <w:link w:val="182"/>
    <w:semiHidden/>
    <w:unhideWhenUsed/>
    <w:qFormat/>
    <w:uiPriority w:val="99"/>
    <w:pPr>
      <w:spacing w:after="120"/>
    </w:pPr>
    <w:rPr>
      <w:rFonts w:ascii="Times New Roman" w:hAnsi="Times New Roman" w:eastAsia="宋体" w:cs="Times New Roman"/>
      <w:szCs w:val="20"/>
    </w:rPr>
  </w:style>
  <w:style w:type="paragraph" w:styleId="32">
    <w:name w:val="Body Text Indent"/>
    <w:basedOn w:val="1"/>
    <w:link w:val="203"/>
    <w:semiHidden/>
    <w:unhideWhenUsed/>
    <w:qFormat/>
    <w:uiPriority w:val="99"/>
    <w:pPr>
      <w:spacing w:after="120"/>
      <w:ind w:left="420" w:leftChars="200"/>
    </w:pPr>
    <w:rPr>
      <w:rFonts w:ascii="Times New Roman" w:hAnsi="Times New Roman" w:eastAsia="宋体" w:cs="Times New Roman"/>
      <w:szCs w:val="20"/>
    </w:rPr>
  </w:style>
  <w:style w:type="paragraph" w:styleId="33">
    <w:name w:val="List Number 3"/>
    <w:basedOn w:val="1"/>
    <w:semiHidden/>
    <w:qFormat/>
    <w:uiPriority w:val="0"/>
    <w:pPr>
      <w:tabs>
        <w:tab w:val="left" w:pos="1200"/>
      </w:tabs>
      <w:ind w:left="1200" w:hanging="360"/>
    </w:pPr>
    <w:rPr>
      <w:rFonts w:ascii="Times New Roman" w:hAnsi="Times New Roman" w:eastAsia="宋体" w:cs="Times New Roman"/>
      <w:szCs w:val="24"/>
    </w:rPr>
  </w:style>
  <w:style w:type="paragraph" w:styleId="34">
    <w:name w:val="List 2"/>
    <w:basedOn w:val="1"/>
    <w:semiHidden/>
    <w:qFormat/>
    <w:uiPriority w:val="0"/>
    <w:pPr>
      <w:ind w:left="100" w:leftChars="200" w:hanging="200" w:hangingChars="200"/>
    </w:pPr>
    <w:rPr>
      <w:rFonts w:ascii="Times New Roman" w:hAnsi="Times New Roman" w:eastAsia="宋体" w:cs="Times New Roman"/>
      <w:szCs w:val="24"/>
    </w:rPr>
  </w:style>
  <w:style w:type="paragraph" w:styleId="35">
    <w:name w:val="List Continue"/>
    <w:basedOn w:val="1"/>
    <w:semiHidden/>
    <w:qFormat/>
    <w:uiPriority w:val="0"/>
    <w:pPr>
      <w:spacing w:after="120"/>
      <w:ind w:left="420" w:leftChars="200"/>
    </w:pPr>
    <w:rPr>
      <w:rFonts w:ascii="Times New Roman" w:hAnsi="Times New Roman" w:eastAsia="宋体" w:cs="Times New Roman"/>
      <w:szCs w:val="24"/>
    </w:rPr>
  </w:style>
  <w:style w:type="paragraph" w:styleId="36">
    <w:name w:val="Block Text"/>
    <w:basedOn w:val="1"/>
    <w:semiHidden/>
    <w:qFormat/>
    <w:uiPriority w:val="0"/>
    <w:pPr>
      <w:spacing w:after="120"/>
      <w:ind w:left="1440" w:leftChars="700" w:right="1440" w:rightChars="700"/>
    </w:pPr>
    <w:rPr>
      <w:rFonts w:ascii="Times New Roman" w:hAnsi="Times New Roman" w:eastAsia="宋体" w:cs="Times New Roman"/>
      <w:szCs w:val="24"/>
    </w:rPr>
  </w:style>
  <w:style w:type="paragraph" w:styleId="37">
    <w:name w:val="List Bullet 2"/>
    <w:basedOn w:val="1"/>
    <w:semiHidden/>
    <w:qFormat/>
    <w:uiPriority w:val="0"/>
    <w:pPr>
      <w:tabs>
        <w:tab w:val="left" w:pos="780"/>
      </w:tabs>
      <w:ind w:left="780" w:hanging="360"/>
    </w:pPr>
    <w:rPr>
      <w:rFonts w:ascii="Times New Roman" w:hAnsi="Times New Roman" w:eastAsia="宋体" w:cs="Times New Roman"/>
      <w:szCs w:val="24"/>
    </w:rPr>
  </w:style>
  <w:style w:type="paragraph" w:styleId="38">
    <w:name w:val="HTML Address"/>
    <w:basedOn w:val="1"/>
    <w:link w:val="169"/>
    <w:semiHidden/>
    <w:qFormat/>
    <w:uiPriority w:val="0"/>
    <w:rPr>
      <w:rFonts w:ascii="Times New Roman" w:hAnsi="Times New Roman" w:eastAsia="宋体" w:cs="Times New Roman"/>
      <w:i/>
      <w:iCs/>
      <w:szCs w:val="24"/>
    </w:rPr>
  </w:style>
  <w:style w:type="paragraph" w:styleId="39">
    <w:name w:val="index 4"/>
    <w:basedOn w:val="1"/>
    <w:next w:val="1"/>
    <w:semiHidden/>
    <w:qFormat/>
    <w:uiPriority w:val="0"/>
    <w:pPr>
      <w:ind w:left="840" w:hanging="210"/>
      <w:jc w:val="left"/>
    </w:pPr>
    <w:rPr>
      <w:rFonts w:ascii="Times New Roman" w:hAnsi="Times New Roman" w:eastAsia="宋体" w:cs="Times New Roman"/>
      <w:sz w:val="20"/>
      <w:szCs w:val="20"/>
    </w:rPr>
  </w:style>
  <w:style w:type="paragraph" w:styleId="40">
    <w:name w:val="toc 5"/>
    <w:basedOn w:val="1"/>
    <w:next w:val="1"/>
    <w:semiHidden/>
    <w:qFormat/>
    <w:uiPriority w:val="0"/>
    <w:pPr>
      <w:tabs>
        <w:tab w:val="right" w:leader="dot" w:pos="8948"/>
      </w:tabs>
      <w:spacing w:line="360" w:lineRule="auto"/>
      <w:ind w:left="420" w:leftChars="200" w:right="420" w:rightChars="200" w:firstLine="960" w:firstLineChars="400"/>
    </w:pPr>
    <w:rPr>
      <w:rFonts w:ascii="宋体" w:hAnsi="宋体" w:eastAsia="宋体" w:cs="Times New Roman"/>
      <w:kern w:val="0"/>
      <w:sz w:val="24"/>
      <w:szCs w:val="24"/>
    </w:rPr>
  </w:style>
  <w:style w:type="paragraph" w:styleId="41">
    <w:name w:val="toc 3"/>
    <w:basedOn w:val="1"/>
    <w:next w:val="1"/>
    <w:qFormat/>
    <w:uiPriority w:val="0"/>
    <w:pPr>
      <w:tabs>
        <w:tab w:val="right" w:leader="dot" w:pos="8949"/>
      </w:tabs>
      <w:adjustRightInd w:val="0"/>
      <w:snapToGrid w:val="0"/>
      <w:spacing w:line="360" w:lineRule="auto"/>
      <w:ind w:right="420" w:rightChars="200" w:firstLine="964" w:firstLineChars="400"/>
      <w:jc w:val="left"/>
    </w:pPr>
    <w:rPr>
      <w:rFonts w:ascii="宋体" w:hAnsi="宋体" w:eastAsia="宋体" w:cs="Times New Roman"/>
      <w:b/>
      <w:iCs/>
      <w:sz w:val="24"/>
      <w:szCs w:val="24"/>
    </w:rPr>
  </w:style>
  <w:style w:type="paragraph" w:styleId="42">
    <w:name w:val="Plain Text"/>
    <w:basedOn w:val="1"/>
    <w:link w:val="206"/>
    <w:unhideWhenUsed/>
    <w:qFormat/>
    <w:uiPriority w:val="0"/>
    <w:rPr>
      <w:rFonts w:ascii="宋体" w:hAnsi="Courier New" w:eastAsia="宋体" w:cs="Times New Roman"/>
      <w:kern w:val="0"/>
      <w:sz w:val="20"/>
      <w:szCs w:val="21"/>
    </w:rPr>
  </w:style>
  <w:style w:type="paragraph" w:styleId="43">
    <w:name w:val="List Bullet 5"/>
    <w:basedOn w:val="1"/>
    <w:semiHidden/>
    <w:qFormat/>
    <w:uiPriority w:val="0"/>
    <w:pPr>
      <w:tabs>
        <w:tab w:val="left" w:pos="2040"/>
      </w:tabs>
      <w:ind w:left="2040" w:hanging="360"/>
    </w:pPr>
    <w:rPr>
      <w:rFonts w:ascii="Times New Roman" w:hAnsi="Times New Roman" w:eastAsia="宋体" w:cs="Times New Roman"/>
      <w:szCs w:val="24"/>
    </w:rPr>
  </w:style>
  <w:style w:type="paragraph" w:styleId="44">
    <w:name w:val="List Number 4"/>
    <w:basedOn w:val="1"/>
    <w:semiHidden/>
    <w:qFormat/>
    <w:uiPriority w:val="0"/>
    <w:pPr>
      <w:tabs>
        <w:tab w:val="left" w:pos="1620"/>
      </w:tabs>
      <w:ind w:left="1620" w:hanging="360"/>
    </w:pPr>
    <w:rPr>
      <w:rFonts w:ascii="Times New Roman" w:hAnsi="Times New Roman" w:eastAsia="宋体" w:cs="Times New Roman"/>
      <w:szCs w:val="24"/>
    </w:rPr>
  </w:style>
  <w:style w:type="paragraph" w:styleId="45">
    <w:name w:val="toc 8"/>
    <w:basedOn w:val="1"/>
    <w:next w:val="1"/>
    <w:semiHidden/>
    <w:qFormat/>
    <w:uiPriority w:val="0"/>
    <w:pPr>
      <w:ind w:left="1470"/>
      <w:jc w:val="left"/>
    </w:pPr>
    <w:rPr>
      <w:rFonts w:ascii="Times New Roman" w:hAnsi="Times New Roman" w:eastAsia="宋体" w:cs="Times New Roman"/>
      <w:sz w:val="18"/>
      <w:szCs w:val="18"/>
    </w:rPr>
  </w:style>
  <w:style w:type="paragraph" w:styleId="46">
    <w:name w:val="index 3"/>
    <w:basedOn w:val="1"/>
    <w:next w:val="1"/>
    <w:semiHidden/>
    <w:qFormat/>
    <w:uiPriority w:val="0"/>
    <w:pPr>
      <w:ind w:left="630" w:hanging="210"/>
      <w:jc w:val="left"/>
    </w:pPr>
    <w:rPr>
      <w:rFonts w:ascii="Times New Roman" w:hAnsi="Times New Roman" w:eastAsia="宋体" w:cs="Times New Roman"/>
      <w:sz w:val="20"/>
      <w:szCs w:val="20"/>
    </w:rPr>
  </w:style>
  <w:style w:type="paragraph" w:styleId="47">
    <w:name w:val="Date"/>
    <w:basedOn w:val="1"/>
    <w:next w:val="1"/>
    <w:link w:val="228"/>
    <w:semiHidden/>
    <w:unhideWhenUsed/>
    <w:qFormat/>
    <w:uiPriority w:val="0"/>
    <w:pPr>
      <w:ind w:left="100" w:leftChars="2500"/>
    </w:pPr>
    <w:rPr>
      <w:rFonts w:ascii="Times New Roman" w:hAnsi="Times New Roman" w:eastAsia="宋体" w:cs="Times New Roman"/>
      <w:szCs w:val="20"/>
    </w:rPr>
  </w:style>
  <w:style w:type="paragraph" w:styleId="48">
    <w:name w:val="Body Text Indent 2"/>
    <w:basedOn w:val="1"/>
    <w:link w:val="165"/>
    <w:semiHidden/>
    <w:qFormat/>
    <w:uiPriority w:val="0"/>
    <w:pPr>
      <w:spacing w:after="120" w:line="480" w:lineRule="auto"/>
      <w:ind w:left="420" w:leftChars="200"/>
    </w:pPr>
    <w:rPr>
      <w:rFonts w:ascii="Times New Roman" w:hAnsi="Times New Roman" w:eastAsia="宋体" w:cs="Times New Roman"/>
      <w:szCs w:val="24"/>
    </w:rPr>
  </w:style>
  <w:style w:type="paragraph" w:styleId="49">
    <w:name w:val="endnote text"/>
    <w:basedOn w:val="1"/>
    <w:link w:val="218"/>
    <w:semiHidden/>
    <w:qFormat/>
    <w:uiPriority w:val="0"/>
    <w:pPr>
      <w:snapToGrid w:val="0"/>
      <w:jc w:val="left"/>
    </w:pPr>
    <w:rPr>
      <w:rFonts w:ascii="Times New Roman" w:hAnsi="Times New Roman" w:eastAsia="宋体" w:cs="Times New Roman"/>
      <w:szCs w:val="24"/>
    </w:rPr>
  </w:style>
  <w:style w:type="paragraph" w:styleId="50">
    <w:name w:val="List Continue 5"/>
    <w:basedOn w:val="1"/>
    <w:semiHidden/>
    <w:qFormat/>
    <w:uiPriority w:val="0"/>
    <w:pPr>
      <w:spacing w:after="120"/>
      <w:ind w:left="2100" w:leftChars="1000"/>
    </w:pPr>
    <w:rPr>
      <w:rFonts w:ascii="Times New Roman" w:hAnsi="Times New Roman" w:eastAsia="宋体" w:cs="Times New Roman"/>
      <w:szCs w:val="24"/>
    </w:rPr>
  </w:style>
  <w:style w:type="paragraph" w:styleId="51">
    <w:name w:val="Balloon Text"/>
    <w:basedOn w:val="1"/>
    <w:link w:val="162"/>
    <w:semiHidden/>
    <w:qFormat/>
    <w:uiPriority w:val="0"/>
    <w:rPr>
      <w:rFonts w:ascii="Times New Roman" w:hAnsi="Times New Roman" w:eastAsia="宋体" w:cs="Times New Roman"/>
      <w:sz w:val="18"/>
      <w:szCs w:val="18"/>
    </w:rPr>
  </w:style>
  <w:style w:type="paragraph" w:styleId="52">
    <w:name w:val="footer"/>
    <w:basedOn w:val="1"/>
    <w:link w:val="158"/>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3">
    <w:name w:val="envelope return"/>
    <w:basedOn w:val="1"/>
    <w:semiHidden/>
    <w:qFormat/>
    <w:uiPriority w:val="0"/>
    <w:pPr>
      <w:snapToGrid w:val="0"/>
    </w:pPr>
    <w:rPr>
      <w:rFonts w:ascii="Arial" w:hAnsi="Arial" w:eastAsia="宋体" w:cs="Arial"/>
      <w:szCs w:val="24"/>
    </w:rPr>
  </w:style>
  <w:style w:type="paragraph" w:styleId="54">
    <w:name w:val="header"/>
    <w:basedOn w:val="1"/>
    <w:link w:val="173"/>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5">
    <w:name w:val="Signature"/>
    <w:basedOn w:val="1"/>
    <w:link w:val="152"/>
    <w:semiHidden/>
    <w:qFormat/>
    <w:uiPriority w:val="0"/>
    <w:pPr>
      <w:ind w:left="100" w:leftChars="2100"/>
    </w:pPr>
    <w:rPr>
      <w:rFonts w:ascii="Times New Roman" w:hAnsi="Times New Roman" w:eastAsia="宋体" w:cs="Times New Roman"/>
      <w:szCs w:val="24"/>
    </w:rPr>
  </w:style>
  <w:style w:type="paragraph" w:styleId="56">
    <w:name w:val="toc 1"/>
    <w:basedOn w:val="1"/>
    <w:next w:val="1"/>
    <w:qFormat/>
    <w:uiPriority w:val="0"/>
    <w:pPr>
      <w:tabs>
        <w:tab w:val="right" w:leader="dot" w:pos="8949"/>
      </w:tabs>
      <w:adjustRightInd w:val="0"/>
      <w:snapToGrid w:val="0"/>
      <w:spacing w:line="360" w:lineRule="auto"/>
      <w:ind w:right="420" w:rightChars="200" w:firstLine="960" w:firstLineChars="400"/>
      <w:jc w:val="center"/>
    </w:pPr>
    <w:rPr>
      <w:rFonts w:ascii="宋体" w:hAnsi="宋体" w:eastAsia="宋体" w:cs="Times New Roman"/>
      <w:bCs/>
      <w:caps/>
      <w:sz w:val="24"/>
      <w:szCs w:val="24"/>
    </w:rPr>
  </w:style>
  <w:style w:type="paragraph" w:styleId="57">
    <w:name w:val="List Continue 4"/>
    <w:basedOn w:val="1"/>
    <w:semiHidden/>
    <w:qFormat/>
    <w:uiPriority w:val="0"/>
    <w:pPr>
      <w:spacing w:after="120"/>
      <w:ind w:left="1680" w:leftChars="800"/>
    </w:pPr>
    <w:rPr>
      <w:rFonts w:ascii="Times New Roman" w:hAnsi="Times New Roman" w:eastAsia="宋体" w:cs="Times New Roman"/>
      <w:szCs w:val="24"/>
    </w:rPr>
  </w:style>
  <w:style w:type="paragraph" w:styleId="58">
    <w:name w:val="toc 4"/>
    <w:basedOn w:val="1"/>
    <w:next w:val="1"/>
    <w:qFormat/>
    <w:uiPriority w:val="0"/>
    <w:pPr>
      <w:tabs>
        <w:tab w:val="right" w:leader="dot" w:pos="8949"/>
      </w:tabs>
      <w:adjustRightInd w:val="0"/>
      <w:snapToGrid w:val="0"/>
      <w:spacing w:line="360" w:lineRule="auto"/>
      <w:ind w:left="630" w:leftChars="300" w:right="630" w:rightChars="300"/>
      <w:jc w:val="distribute"/>
    </w:pPr>
    <w:rPr>
      <w:rFonts w:ascii="宋体" w:hAnsi="宋体" w:eastAsia="宋体" w:cs="Times New Roman"/>
      <w:szCs w:val="21"/>
    </w:rPr>
  </w:style>
  <w:style w:type="paragraph" w:styleId="59">
    <w:name w:val="index heading"/>
    <w:basedOn w:val="1"/>
    <w:next w:val="60"/>
    <w:semiHidden/>
    <w:qFormat/>
    <w:uiPriority w:val="0"/>
    <w:pPr>
      <w:spacing w:before="120" w:after="120"/>
      <w:jc w:val="left"/>
    </w:pPr>
    <w:rPr>
      <w:rFonts w:ascii="Times New Roman" w:hAnsi="Times New Roman" w:eastAsia="宋体" w:cs="Times New Roman"/>
      <w:b/>
      <w:bCs/>
      <w:i/>
      <w:iCs/>
      <w:sz w:val="20"/>
      <w:szCs w:val="20"/>
    </w:rPr>
  </w:style>
  <w:style w:type="paragraph" w:styleId="60">
    <w:name w:val="index 1"/>
    <w:basedOn w:val="1"/>
    <w:next w:val="1"/>
    <w:semiHidden/>
    <w:unhideWhenUsed/>
    <w:qFormat/>
    <w:uiPriority w:val="0"/>
    <w:rPr>
      <w:rFonts w:ascii="Times New Roman" w:hAnsi="Times New Roman" w:eastAsia="宋体" w:cs="Times New Roman"/>
      <w:szCs w:val="20"/>
    </w:rPr>
  </w:style>
  <w:style w:type="paragraph" w:styleId="61">
    <w:name w:val="List Number 5"/>
    <w:basedOn w:val="1"/>
    <w:semiHidden/>
    <w:qFormat/>
    <w:uiPriority w:val="0"/>
    <w:pPr>
      <w:tabs>
        <w:tab w:val="left" w:pos="2040"/>
      </w:tabs>
      <w:ind w:left="2040" w:hanging="360"/>
    </w:pPr>
    <w:rPr>
      <w:rFonts w:ascii="Times New Roman" w:hAnsi="Times New Roman" w:eastAsia="宋体" w:cs="Times New Roman"/>
      <w:szCs w:val="24"/>
    </w:rPr>
  </w:style>
  <w:style w:type="paragraph" w:styleId="62">
    <w:name w:val="List"/>
    <w:basedOn w:val="1"/>
    <w:semiHidden/>
    <w:qFormat/>
    <w:uiPriority w:val="0"/>
    <w:pPr>
      <w:ind w:left="200" w:hanging="200" w:hangingChars="200"/>
    </w:pPr>
    <w:rPr>
      <w:rFonts w:ascii="Times New Roman" w:hAnsi="Times New Roman" w:eastAsia="宋体" w:cs="Times New Roman"/>
      <w:szCs w:val="24"/>
    </w:rPr>
  </w:style>
  <w:style w:type="paragraph" w:styleId="63">
    <w:name w:val="footnote text"/>
    <w:basedOn w:val="1"/>
    <w:link w:val="219"/>
    <w:semiHidden/>
    <w:qFormat/>
    <w:uiPriority w:val="0"/>
    <w:pPr>
      <w:snapToGrid w:val="0"/>
      <w:jc w:val="left"/>
    </w:pPr>
    <w:rPr>
      <w:rFonts w:ascii="Times New Roman" w:hAnsi="Times New Roman" w:eastAsia="宋体" w:cs="Times New Roman"/>
      <w:sz w:val="18"/>
      <w:szCs w:val="20"/>
    </w:rPr>
  </w:style>
  <w:style w:type="paragraph" w:styleId="64">
    <w:name w:val="toc 6"/>
    <w:basedOn w:val="1"/>
    <w:next w:val="1"/>
    <w:semiHidden/>
    <w:qFormat/>
    <w:uiPriority w:val="0"/>
    <w:pPr>
      <w:ind w:left="1050"/>
      <w:jc w:val="left"/>
    </w:pPr>
    <w:rPr>
      <w:rFonts w:ascii="Times New Roman" w:hAnsi="Times New Roman" w:eastAsia="宋体" w:cs="Times New Roman"/>
      <w:sz w:val="18"/>
      <w:szCs w:val="18"/>
    </w:rPr>
  </w:style>
  <w:style w:type="paragraph" w:styleId="65">
    <w:name w:val="List 5"/>
    <w:basedOn w:val="1"/>
    <w:semiHidden/>
    <w:qFormat/>
    <w:uiPriority w:val="0"/>
    <w:pPr>
      <w:ind w:left="100" w:leftChars="800" w:hanging="200" w:hangingChars="200"/>
    </w:pPr>
    <w:rPr>
      <w:rFonts w:ascii="Times New Roman" w:hAnsi="Times New Roman" w:eastAsia="宋体" w:cs="Times New Roman"/>
      <w:szCs w:val="24"/>
    </w:rPr>
  </w:style>
  <w:style w:type="paragraph" w:styleId="66">
    <w:name w:val="index 7"/>
    <w:basedOn w:val="1"/>
    <w:next w:val="1"/>
    <w:semiHidden/>
    <w:qFormat/>
    <w:uiPriority w:val="0"/>
    <w:pPr>
      <w:ind w:left="1470" w:hanging="210"/>
      <w:jc w:val="left"/>
    </w:pPr>
    <w:rPr>
      <w:rFonts w:ascii="Times New Roman" w:hAnsi="Times New Roman" w:eastAsia="宋体" w:cs="Times New Roman"/>
      <w:sz w:val="20"/>
      <w:szCs w:val="20"/>
    </w:rPr>
  </w:style>
  <w:style w:type="paragraph" w:styleId="67">
    <w:name w:val="index 9"/>
    <w:basedOn w:val="1"/>
    <w:next w:val="1"/>
    <w:semiHidden/>
    <w:qFormat/>
    <w:uiPriority w:val="0"/>
    <w:pPr>
      <w:ind w:left="1890" w:hanging="210"/>
      <w:jc w:val="left"/>
    </w:pPr>
    <w:rPr>
      <w:rFonts w:ascii="Times New Roman" w:hAnsi="Times New Roman" w:eastAsia="宋体" w:cs="Times New Roman"/>
      <w:sz w:val="20"/>
      <w:szCs w:val="20"/>
    </w:rPr>
  </w:style>
  <w:style w:type="paragraph" w:styleId="68">
    <w:name w:val="table of figures"/>
    <w:basedOn w:val="1"/>
    <w:next w:val="1"/>
    <w:semiHidden/>
    <w:qFormat/>
    <w:uiPriority w:val="0"/>
    <w:pPr>
      <w:ind w:left="200" w:leftChars="200" w:hanging="200" w:hangingChars="200"/>
    </w:pPr>
    <w:rPr>
      <w:rFonts w:ascii="Times New Roman" w:hAnsi="Times New Roman" w:eastAsia="宋体" w:cs="Times New Roman"/>
      <w:sz w:val="24"/>
      <w:szCs w:val="24"/>
    </w:rPr>
  </w:style>
  <w:style w:type="paragraph" w:styleId="69">
    <w:name w:val="toc 2"/>
    <w:basedOn w:val="1"/>
    <w:next w:val="1"/>
    <w:qFormat/>
    <w:uiPriority w:val="0"/>
    <w:pPr>
      <w:tabs>
        <w:tab w:val="right" w:leader="dot" w:pos="8949"/>
      </w:tabs>
      <w:adjustRightInd w:val="0"/>
      <w:snapToGrid w:val="0"/>
      <w:spacing w:line="360" w:lineRule="auto"/>
      <w:ind w:right="420" w:rightChars="200" w:firstLine="964" w:firstLineChars="400"/>
      <w:jc w:val="distribute"/>
    </w:pPr>
    <w:rPr>
      <w:rFonts w:ascii="宋体" w:hAnsi="宋体" w:eastAsia="宋体" w:cs="Times New Roman"/>
      <w:b/>
      <w:smallCaps/>
      <w:sz w:val="24"/>
      <w:szCs w:val="24"/>
    </w:rPr>
  </w:style>
  <w:style w:type="paragraph" w:styleId="70">
    <w:name w:val="toc 9"/>
    <w:basedOn w:val="1"/>
    <w:next w:val="1"/>
    <w:semiHidden/>
    <w:qFormat/>
    <w:uiPriority w:val="0"/>
    <w:pPr>
      <w:ind w:left="1680"/>
      <w:jc w:val="left"/>
    </w:pPr>
    <w:rPr>
      <w:rFonts w:ascii="Times New Roman" w:hAnsi="Times New Roman" w:eastAsia="宋体" w:cs="Times New Roman"/>
      <w:sz w:val="18"/>
      <w:szCs w:val="18"/>
    </w:rPr>
  </w:style>
  <w:style w:type="paragraph" w:styleId="71">
    <w:name w:val="List 4"/>
    <w:basedOn w:val="1"/>
    <w:semiHidden/>
    <w:qFormat/>
    <w:uiPriority w:val="0"/>
    <w:pPr>
      <w:ind w:left="100" w:leftChars="600" w:hanging="200" w:hangingChars="200"/>
    </w:pPr>
    <w:rPr>
      <w:rFonts w:ascii="Times New Roman" w:hAnsi="Times New Roman" w:eastAsia="宋体" w:cs="Times New Roman"/>
      <w:szCs w:val="24"/>
    </w:rPr>
  </w:style>
  <w:style w:type="paragraph" w:styleId="72">
    <w:name w:val="List Continue 2"/>
    <w:basedOn w:val="1"/>
    <w:semiHidden/>
    <w:qFormat/>
    <w:uiPriority w:val="0"/>
    <w:pPr>
      <w:spacing w:after="120"/>
      <w:ind w:left="840" w:leftChars="400"/>
    </w:pPr>
    <w:rPr>
      <w:rFonts w:ascii="Times New Roman" w:hAnsi="Times New Roman" w:eastAsia="宋体" w:cs="Times New Roman"/>
      <w:szCs w:val="24"/>
    </w:rPr>
  </w:style>
  <w:style w:type="paragraph" w:styleId="73">
    <w:name w:val="Message Header"/>
    <w:basedOn w:val="1"/>
    <w:link w:val="160"/>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74">
    <w:name w:val="HTML Preformatted"/>
    <w:basedOn w:val="1"/>
    <w:link w:val="15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kern w:val="0"/>
      <w:sz w:val="24"/>
      <w:szCs w:val="24"/>
    </w:rPr>
  </w:style>
  <w:style w:type="paragraph" w:styleId="75">
    <w:name w:val="List Continue 3"/>
    <w:basedOn w:val="1"/>
    <w:semiHidden/>
    <w:qFormat/>
    <w:uiPriority w:val="0"/>
    <w:pPr>
      <w:spacing w:after="120"/>
      <w:ind w:left="1260" w:leftChars="600"/>
    </w:pPr>
    <w:rPr>
      <w:rFonts w:ascii="Times New Roman" w:hAnsi="Times New Roman" w:eastAsia="宋体" w:cs="Times New Roman"/>
      <w:szCs w:val="24"/>
    </w:rPr>
  </w:style>
  <w:style w:type="paragraph" w:styleId="76">
    <w:name w:val="index 2"/>
    <w:basedOn w:val="1"/>
    <w:next w:val="1"/>
    <w:semiHidden/>
    <w:qFormat/>
    <w:uiPriority w:val="0"/>
    <w:pPr>
      <w:ind w:left="420" w:hanging="210"/>
      <w:jc w:val="left"/>
    </w:pPr>
    <w:rPr>
      <w:rFonts w:ascii="Times New Roman" w:hAnsi="Times New Roman" w:eastAsia="宋体" w:cs="Times New Roman"/>
      <w:sz w:val="20"/>
      <w:szCs w:val="20"/>
    </w:rPr>
  </w:style>
  <w:style w:type="paragraph" w:styleId="77">
    <w:name w:val="annotation subject"/>
    <w:basedOn w:val="25"/>
    <w:next w:val="25"/>
    <w:link w:val="163"/>
    <w:semiHidden/>
    <w:qFormat/>
    <w:uiPriority w:val="0"/>
    <w:rPr>
      <w:b/>
      <w:bCs/>
      <w:szCs w:val="24"/>
    </w:rPr>
  </w:style>
  <w:style w:type="paragraph" w:styleId="78">
    <w:name w:val="Body Text First Indent"/>
    <w:basedOn w:val="1"/>
    <w:link w:val="172"/>
    <w:semiHidden/>
    <w:qFormat/>
    <w:uiPriority w:val="0"/>
    <w:pPr>
      <w:spacing w:after="120"/>
      <w:ind w:firstLine="420" w:firstLineChars="100"/>
    </w:pPr>
    <w:rPr>
      <w:rFonts w:ascii="Times New Roman"/>
      <w:szCs w:val="24"/>
    </w:rPr>
  </w:style>
  <w:style w:type="paragraph" w:styleId="79">
    <w:name w:val="Body Text First Indent 2"/>
    <w:basedOn w:val="1"/>
    <w:link w:val="153"/>
    <w:semiHidden/>
    <w:qFormat/>
    <w:uiPriority w:val="0"/>
    <w:pPr>
      <w:spacing w:after="120"/>
      <w:ind w:left="420" w:leftChars="200" w:firstLine="420"/>
    </w:pPr>
    <w:rPr>
      <w:rFonts w:ascii="Times New Roman" w:hAnsi="Times New Roman"/>
      <w:szCs w:val="24"/>
    </w:rPr>
  </w:style>
  <w:style w:type="table" w:styleId="81">
    <w:name w:val="Table Grid"/>
    <w:basedOn w:val="8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2">
    <w:name w:val="Table Theme"/>
    <w:basedOn w:val="80"/>
    <w:semiHidden/>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3">
    <w:name w:val="Table Colorful 1"/>
    <w:basedOn w:val="80"/>
    <w:semiHidden/>
    <w:qFormat/>
    <w:uiPriority w:val="0"/>
    <w:pPr>
      <w:widowControl w:val="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4">
    <w:name w:val="Table Colorful 2"/>
    <w:basedOn w:val="80"/>
    <w:semiHidden/>
    <w:qFormat/>
    <w:uiPriority w:val="0"/>
    <w:pPr>
      <w:widowControl w:val="0"/>
      <w:jc w:val="both"/>
    </w:pPr>
    <w:rPr>
      <w:rFonts w:ascii="Times New Roman" w:hAnsi="Times New Roman" w:eastAsia="宋体" w:cs="Times New Roman"/>
      <w:kern w:val="0"/>
      <w:sz w:val="20"/>
      <w:szCs w:val="20"/>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5">
    <w:name w:val="Table Colorful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6">
    <w:name w:val="Table Elegant"/>
    <w:basedOn w:val="80"/>
    <w:semiHidden/>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87">
    <w:name w:val="Table Classic 1"/>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8">
    <w:name w:val="Table Classic 2"/>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9">
    <w:name w:val="Table Classic 3"/>
    <w:basedOn w:val="80"/>
    <w:semiHidden/>
    <w:qFormat/>
    <w:uiPriority w:val="0"/>
    <w:pPr>
      <w:widowControl w:val="0"/>
      <w:jc w:val="both"/>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0">
    <w:name w:val="Table Classic 4"/>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1">
    <w:name w:val="Table Simple 1"/>
    <w:basedOn w:val="80"/>
    <w:semiHidden/>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92">
    <w:name w:val="Table Simple 2"/>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93">
    <w:name w:val="Table Simple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94">
    <w:name w:val="Table Subtle 1"/>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5">
    <w:name w:val="Table Subtle 2"/>
    <w:basedOn w:val="80"/>
    <w:semiHidden/>
    <w:qFormat/>
    <w:uiPriority w:val="0"/>
    <w:pPr>
      <w:widowControl w:val="0"/>
      <w:jc w:val="both"/>
    </w:pPr>
    <w:rPr>
      <w:rFonts w:ascii="Times New Roman" w:hAnsi="Times New Roman" w:eastAsia="宋体" w:cs="Times New Roman"/>
      <w:kern w:val="0"/>
      <w:sz w:val="20"/>
      <w:szCs w:val="20"/>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3D effects 1"/>
    <w:basedOn w:val="80"/>
    <w:semiHidden/>
    <w:qFormat/>
    <w:uiPriority w:val="0"/>
    <w:pPr>
      <w:widowControl w:val="0"/>
      <w:jc w:val="both"/>
    </w:pPr>
    <w:rPr>
      <w:rFonts w:ascii="Times New Roman" w:hAnsi="Times New Roman" w:eastAsia="宋体" w:cs="Times New Roman"/>
      <w:kern w:val="0"/>
      <w:sz w:val="20"/>
      <w:szCs w:val="20"/>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7">
    <w:name w:val="Table 3D effects 2"/>
    <w:basedOn w:val="80"/>
    <w:semiHidden/>
    <w:qFormat/>
    <w:uiPriority w:val="0"/>
    <w:pPr>
      <w:widowControl w:val="0"/>
      <w:jc w:val="both"/>
    </w:pPr>
    <w:rPr>
      <w:rFonts w:ascii="Times New Roman" w:hAnsi="Times New Roman" w:eastAsia="宋体" w:cs="Times New Roman"/>
      <w:kern w:val="0"/>
      <w:sz w:val="20"/>
      <w:szCs w:val="20"/>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8">
    <w:name w:val="Table 3D effects 3"/>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9">
    <w:name w:val="Table List 1"/>
    <w:basedOn w:val="80"/>
    <w:semiHidden/>
    <w:qFormat/>
    <w:uiPriority w:val="0"/>
    <w:pPr>
      <w:widowControl w:val="0"/>
      <w:jc w:val="both"/>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0">
    <w:name w:val="Table List 2"/>
    <w:basedOn w:val="80"/>
    <w:semiHidden/>
    <w:qFormat/>
    <w:uiPriority w:val="0"/>
    <w:pPr>
      <w:widowControl w:val="0"/>
      <w:jc w:val="both"/>
    </w:pPr>
    <w:rPr>
      <w:rFonts w:ascii="Times New Roman" w:hAnsi="Times New Roman" w:eastAsia="宋体" w:cs="Times New Roman"/>
      <w:kern w:val="0"/>
      <w:sz w:val="20"/>
      <w:szCs w:val="20"/>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1">
    <w:name w:val="Table List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02">
    <w:name w:val="Table List 4"/>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03">
    <w:name w:val="Table List 5"/>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4">
    <w:name w:val="Table List 6"/>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5">
    <w:name w:val="Table List 7"/>
    <w:basedOn w:val="80"/>
    <w:semiHidden/>
    <w:qFormat/>
    <w:uiPriority w:val="0"/>
    <w:pPr>
      <w:widowControl w:val="0"/>
      <w:jc w:val="both"/>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6">
    <w:name w:val="Table List 8"/>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7">
    <w:name w:val="Table Contemporary"/>
    <w:basedOn w:val="80"/>
    <w:semiHidden/>
    <w:qFormat/>
    <w:uiPriority w:val="0"/>
    <w:pPr>
      <w:widowControl w:val="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8">
    <w:name w:val="Table Columns 1"/>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Columns 2"/>
    <w:basedOn w:val="80"/>
    <w:semiHidden/>
    <w:qFormat/>
    <w:uiPriority w:val="0"/>
    <w:pPr>
      <w:widowControl w:val="0"/>
      <w:jc w:val="both"/>
    </w:pPr>
    <w:rPr>
      <w:rFonts w:ascii="Times New Roman" w:hAnsi="Times New Roman" w:eastAsia="宋体" w:cs="Times New Roman"/>
      <w:b/>
      <w:bCs/>
      <w:kern w:val="0"/>
      <w:sz w:val="20"/>
      <w:szCs w:val="20"/>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0">
    <w:name w:val="Table Columns 3"/>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1">
    <w:name w:val="Table Columns 4"/>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12">
    <w:name w:val="Table Columns 5"/>
    <w:basedOn w:val="80"/>
    <w:semiHidden/>
    <w:qFormat/>
    <w:uiPriority w:val="0"/>
    <w:pPr>
      <w:widowControl w:val="0"/>
      <w:jc w:val="both"/>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3">
    <w:name w:val="Table Grid 1"/>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4">
    <w:name w:val="Table Grid 2"/>
    <w:basedOn w:val="80"/>
    <w:semiHidden/>
    <w:qFormat/>
    <w:uiPriority w:val="0"/>
    <w:pPr>
      <w:widowControl w:val="0"/>
      <w:jc w:val="both"/>
    </w:pPr>
    <w:rPr>
      <w:rFonts w:ascii="Times New Roman" w:hAnsi="Times New Roman" w:eastAsia="宋体" w:cs="Times New Roman"/>
      <w:kern w:val="0"/>
      <w:sz w:val="20"/>
      <w:szCs w:val="20"/>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5">
    <w:name w:val="Table Grid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4"/>
    <w:basedOn w:val="80"/>
    <w:semiHidden/>
    <w:qFormat/>
    <w:uiPriority w:val="0"/>
    <w:pPr>
      <w:widowControl w:val="0"/>
      <w:jc w:val="both"/>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7">
    <w:name w:val="Table Grid 5"/>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8">
    <w:name w:val="Table Grid 6"/>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9">
    <w:name w:val="Table Grid 7"/>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0">
    <w:name w:val="Table Grid 8"/>
    <w:basedOn w:val="80"/>
    <w:semiHidden/>
    <w:qFormat/>
    <w:uiPriority w:val="0"/>
    <w:pPr>
      <w:widowControl w:val="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1">
    <w:name w:val="Table Web 1"/>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2">
    <w:name w:val="Table Web 2"/>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3">
    <w:name w:val="Table Web 3"/>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4">
    <w:name w:val="Table Professional"/>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paragraph" w:customStyle="1" w:styleId="126">
    <w:name w:val=" Char"/>
    <w:basedOn w:val="1"/>
    <w:link w:val="125"/>
    <w:qFormat/>
    <w:uiPriority w:val="0"/>
    <w:pPr>
      <w:adjustRightInd w:val="0"/>
      <w:snapToGrid w:val="0"/>
      <w:spacing w:line="360" w:lineRule="auto"/>
      <w:ind w:firstLine="200"/>
      <w:jc w:val="left"/>
    </w:pPr>
  </w:style>
  <w:style w:type="character" w:styleId="127">
    <w:name w:val="Strong"/>
    <w:basedOn w:val="125"/>
    <w:qFormat/>
    <w:uiPriority w:val="0"/>
    <w:rPr>
      <w:b/>
      <w:bCs/>
    </w:rPr>
  </w:style>
  <w:style w:type="character" w:styleId="128">
    <w:name w:val="endnote reference"/>
    <w:semiHidden/>
    <w:qFormat/>
    <w:uiPriority w:val="0"/>
    <w:rPr>
      <w:vertAlign w:val="superscript"/>
    </w:rPr>
  </w:style>
  <w:style w:type="character" w:styleId="129">
    <w:name w:val="FollowedHyperlink"/>
    <w:unhideWhenUsed/>
    <w:qFormat/>
    <w:uiPriority w:val="99"/>
    <w:rPr>
      <w:color w:val="800080"/>
      <w:u w:val="single"/>
    </w:rPr>
  </w:style>
  <w:style w:type="character" w:styleId="130">
    <w:name w:val="line number"/>
    <w:basedOn w:val="125"/>
    <w:semiHidden/>
    <w:qFormat/>
    <w:uiPriority w:val="0"/>
  </w:style>
  <w:style w:type="character" w:styleId="131">
    <w:name w:val="HTML Definition"/>
    <w:semiHidden/>
    <w:qFormat/>
    <w:uiPriority w:val="0"/>
    <w:rPr>
      <w:i/>
      <w:iCs/>
    </w:rPr>
  </w:style>
  <w:style w:type="character" w:styleId="132">
    <w:name w:val="HTML Typewriter"/>
    <w:semiHidden/>
    <w:qFormat/>
    <w:uiPriority w:val="0"/>
    <w:rPr>
      <w:rFonts w:ascii="Courier New" w:hAnsi="Courier New" w:cs="Courier New"/>
      <w:sz w:val="20"/>
      <w:szCs w:val="20"/>
    </w:rPr>
  </w:style>
  <w:style w:type="character" w:styleId="133">
    <w:name w:val="HTML Acronym"/>
    <w:basedOn w:val="125"/>
    <w:semiHidden/>
    <w:qFormat/>
    <w:uiPriority w:val="0"/>
  </w:style>
  <w:style w:type="character" w:styleId="134">
    <w:name w:val="HTML Variable"/>
    <w:semiHidden/>
    <w:qFormat/>
    <w:uiPriority w:val="0"/>
    <w:rPr>
      <w:i/>
      <w:iCs/>
    </w:rPr>
  </w:style>
  <w:style w:type="character" w:styleId="135">
    <w:name w:val="Hyperlink"/>
    <w:basedOn w:val="125"/>
    <w:qFormat/>
    <w:uiPriority w:val="99"/>
    <w:rPr>
      <w:color w:val="333333"/>
      <w:u w:val="none"/>
      <w:vertAlign w:val="baseline"/>
    </w:rPr>
  </w:style>
  <w:style w:type="character" w:styleId="136">
    <w:name w:val="HTML Code"/>
    <w:semiHidden/>
    <w:qFormat/>
    <w:uiPriority w:val="0"/>
    <w:rPr>
      <w:rFonts w:ascii="Courier New" w:hAnsi="Courier New" w:cs="Courier New"/>
      <w:sz w:val="20"/>
      <w:szCs w:val="20"/>
    </w:rPr>
  </w:style>
  <w:style w:type="character" w:styleId="137">
    <w:name w:val="annotation reference"/>
    <w:semiHidden/>
    <w:qFormat/>
    <w:uiPriority w:val="0"/>
    <w:rPr>
      <w:sz w:val="21"/>
      <w:szCs w:val="21"/>
    </w:rPr>
  </w:style>
  <w:style w:type="character" w:styleId="138">
    <w:name w:val="HTML Cite"/>
    <w:semiHidden/>
    <w:qFormat/>
    <w:uiPriority w:val="0"/>
    <w:rPr>
      <w:i/>
      <w:iCs/>
    </w:rPr>
  </w:style>
  <w:style w:type="character" w:styleId="139">
    <w:name w:val="footnote reference"/>
    <w:semiHidden/>
    <w:qFormat/>
    <w:uiPriority w:val="0"/>
    <w:rPr>
      <w:vertAlign w:val="superscript"/>
    </w:rPr>
  </w:style>
  <w:style w:type="character" w:styleId="140">
    <w:name w:val="HTML Keyboard"/>
    <w:semiHidden/>
    <w:qFormat/>
    <w:uiPriority w:val="0"/>
    <w:rPr>
      <w:rFonts w:ascii="Courier New" w:hAnsi="Courier New" w:cs="Courier New"/>
      <w:sz w:val="20"/>
      <w:szCs w:val="20"/>
    </w:rPr>
  </w:style>
  <w:style w:type="character" w:styleId="141">
    <w:name w:val="HTML Sample"/>
    <w:semiHidden/>
    <w:qFormat/>
    <w:uiPriority w:val="0"/>
    <w:rPr>
      <w:rFonts w:ascii="Courier New" w:hAnsi="Courier New" w:cs="Courier New"/>
    </w:rPr>
  </w:style>
  <w:style w:type="character" w:customStyle="1" w:styleId="142">
    <w:name w:val="标题 1 字符"/>
    <w:basedOn w:val="125"/>
    <w:link w:val="3"/>
    <w:qFormat/>
    <w:uiPriority w:val="0"/>
    <w:rPr>
      <w:b/>
      <w:bCs/>
      <w:kern w:val="44"/>
      <w:sz w:val="44"/>
      <w:szCs w:val="44"/>
    </w:rPr>
  </w:style>
  <w:style w:type="character" w:customStyle="1" w:styleId="143">
    <w:name w:val="标题 2 字符"/>
    <w:basedOn w:val="125"/>
    <w:link w:val="4"/>
    <w:qFormat/>
    <w:uiPriority w:val="0"/>
    <w:rPr>
      <w:rFonts w:asciiTheme="majorHAnsi" w:hAnsiTheme="majorHAnsi" w:eastAsiaTheme="majorEastAsia" w:cstheme="majorBidi"/>
      <w:b/>
      <w:bCs/>
      <w:sz w:val="32"/>
      <w:szCs w:val="32"/>
    </w:rPr>
  </w:style>
  <w:style w:type="character" w:customStyle="1" w:styleId="144">
    <w:name w:val="标题 3 字符"/>
    <w:basedOn w:val="125"/>
    <w:link w:val="5"/>
    <w:qFormat/>
    <w:uiPriority w:val="0"/>
    <w:rPr>
      <w:b/>
      <w:bCs/>
      <w:sz w:val="32"/>
      <w:szCs w:val="32"/>
    </w:rPr>
  </w:style>
  <w:style w:type="character" w:customStyle="1" w:styleId="145">
    <w:name w:val="标题 4 字符"/>
    <w:basedOn w:val="125"/>
    <w:link w:val="6"/>
    <w:qFormat/>
    <w:uiPriority w:val="0"/>
    <w:rPr>
      <w:rFonts w:asciiTheme="majorHAnsi" w:hAnsiTheme="majorHAnsi" w:eastAsiaTheme="majorEastAsia" w:cstheme="majorBidi"/>
      <w:b/>
      <w:bCs/>
      <w:sz w:val="28"/>
      <w:szCs w:val="28"/>
    </w:rPr>
  </w:style>
  <w:style w:type="character" w:customStyle="1" w:styleId="146">
    <w:name w:val="标题 5 字符"/>
    <w:basedOn w:val="125"/>
    <w:link w:val="7"/>
    <w:qFormat/>
    <w:uiPriority w:val="0"/>
    <w:rPr>
      <w:b/>
      <w:bCs/>
      <w:sz w:val="28"/>
      <w:szCs w:val="28"/>
    </w:rPr>
  </w:style>
  <w:style w:type="character" w:customStyle="1" w:styleId="147">
    <w:name w:val="标题 6 字符"/>
    <w:basedOn w:val="125"/>
    <w:link w:val="8"/>
    <w:qFormat/>
    <w:uiPriority w:val="0"/>
    <w:rPr>
      <w:rFonts w:asciiTheme="majorHAnsi" w:hAnsiTheme="majorHAnsi" w:eastAsiaTheme="majorEastAsia" w:cstheme="majorBidi"/>
      <w:b/>
      <w:bCs/>
      <w:sz w:val="24"/>
      <w:szCs w:val="24"/>
    </w:rPr>
  </w:style>
  <w:style w:type="character" w:customStyle="1" w:styleId="148">
    <w:name w:val="标题 7 字符"/>
    <w:basedOn w:val="125"/>
    <w:link w:val="9"/>
    <w:qFormat/>
    <w:uiPriority w:val="0"/>
    <w:rPr>
      <w:b/>
      <w:bCs/>
      <w:sz w:val="24"/>
      <w:szCs w:val="24"/>
    </w:rPr>
  </w:style>
  <w:style w:type="character" w:customStyle="1" w:styleId="149">
    <w:name w:val="标题 8 字符"/>
    <w:basedOn w:val="125"/>
    <w:link w:val="10"/>
    <w:qFormat/>
    <w:uiPriority w:val="0"/>
    <w:rPr>
      <w:rFonts w:asciiTheme="majorHAnsi" w:hAnsiTheme="majorHAnsi" w:eastAsiaTheme="majorEastAsia" w:cstheme="majorBidi"/>
      <w:sz w:val="24"/>
      <w:szCs w:val="24"/>
    </w:rPr>
  </w:style>
  <w:style w:type="character" w:customStyle="1" w:styleId="150">
    <w:name w:val="标题 9 字符"/>
    <w:basedOn w:val="125"/>
    <w:link w:val="11"/>
    <w:qFormat/>
    <w:uiPriority w:val="0"/>
    <w:rPr>
      <w:rFonts w:asciiTheme="majorHAnsi" w:hAnsiTheme="majorHAnsi" w:eastAsiaTheme="majorEastAsia" w:cstheme="majorBidi"/>
      <w:szCs w:val="21"/>
    </w:rPr>
  </w:style>
  <w:style w:type="character" w:customStyle="1" w:styleId="151">
    <w:name w:val="HTML 预设格式 字符"/>
    <w:link w:val="74"/>
    <w:semiHidden/>
    <w:qFormat/>
    <w:uiPriority w:val="0"/>
    <w:rPr>
      <w:rFonts w:ascii="宋体" w:hAnsi="宋体" w:eastAsia="宋体" w:cs="宋体"/>
      <w:color w:val="000000"/>
      <w:kern w:val="0"/>
      <w:sz w:val="24"/>
      <w:szCs w:val="24"/>
    </w:rPr>
  </w:style>
  <w:style w:type="character" w:customStyle="1" w:styleId="152">
    <w:name w:val="签名 字符"/>
    <w:link w:val="55"/>
    <w:semiHidden/>
    <w:qFormat/>
    <w:uiPriority w:val="0"/>
    <w:rPr>
      <w:rFonts w:ascii="Times New Roman" w:hAnsi="Times New Roman" w:eastAsia="宋体" w:cs="Times New Roman"/>
      <w:szCs w:val="24"/>
    </w:rPr>
  </w:style>
  <w:style w:type="character" w:customStyle="1" w:styleId="153">
    <w:name w:val="正文文本首行缩进 2 字符"/>
    <w:link w:val="79"/>
    <w:semiHidden/>
    <w:qFormat/>
    <w:uiPriority w:val="0"/>
    <w:rPr>
      <w:rFonts w:ascii="Times New Roman" w:hAnsi="Times New Roman"/>
      <w:szCs w:val="24"/>
    </w:rPr>
  </w:style>
  <w:style w:type="character" w:customStyle="1" w:styleId="154">
    <w:name w:val="注释标题 字符"/>
    <w:link w:val="15"/>
    <w:semiHidden/>
    <w:qFormat/>
    <w:uiPriority w:val="0"/>
    <w:rPr>
      <w:rFonts w:ascii="Times New Roman" w:hAnsi="Times New Roman" w:eastAsia="宋体" w:cs="Times New Roman"/>
      <w:szCs w:val="24"/>
    </w:rPr>
  </w:style>
  <w:style w:type="character" w:customStyle="1" w:styleId="155">
    <w:name w:val="unnamed211"/>
    <w:semiHidden/>
    <w:qFormat/>
    <w:uiPriority w:val="0"/>
    <w:rPr>
      <w:sz w:val="23"/>
      <w:szCs w:val="23"/>
    </w:rPr>
  </w:style>
  <w:style w:type="character" w:customStyle="1" w:styleId="156">
    <w:name w:val="电子邮件签名 字符"/>
    <w:link w:val="18"/>
    <w:semiHidden/>
    <w:qFormat/>
    <w:uiPriority w:val="0"/>
    <w:rPr>
      <w:rFonts w:ascii="Times New Roman" w:hAnsi="Times New Roman" w:eastAsia="宋体" w:cs="Times New Roman"/>
      <w:szCs w:val="24"/>
    </w:rPr>
  </w:style>
  <w:style w:type="character" w:customStyle="1" w:styleId="157">
    <w:name w:val="批注文字 Char"/>
    <w:semiHidden/>
    <w:qFormat/>
    <w:uiPriority w:val="0"/>
    <w:rPr>
      <w:rFonts w:ascii="Times New Roman" w:hAnsi="Times New Roman" w:eastAsia="宋体" w:cs="Times New Roman"/>
      <w:szCs w:val="20"/>
    </w:rPr>
  </w:style>
  <w:style w:type="character" w:customStyle="1" w:styleId="158">
    <w:name w:val="页脚 字符"/>
    <w:link w:val="52"/>
    <w:qFormat/>
    <w:uiPriority w:val="0"/>
    <w:rPr>
      <w:rFonts w:ascii="Times New Roman" w:hAnsi="Times New Roman" w:eastAsia="宋体" w:cs="Times New Roman"/>
      <w:sz w:val="18"/>
      <w:szCs w:val="18"/>
    </w:rPr>
  </w:style>
  <w:style w:type="character" w:customStyle="1" w:styleId="159">
    <w:name w:val="文档结构图 字符"/>
    <w:link w:val="23"/>
    <w:qFormat/>
    <w:uiPriority w:val="0"/>
    <w:rPr>
      <w:rFonts w:ascii="Times New Roman" w:hAnsi="Times New Roman" w:eastAsia="宋体" w:cs="Times New Roman"/>
      <w:szCs w:val="20"/>
      <w:shd w:val="clear" w:color="auto" w:fill="000080"/>
    </w:rPr>
  </w:style>
  <w:style w:type="character" w:customStyle="1" w:styleId="160">
    <w:name w:val="信息标题 字符"/>
    <w:link w:val="73"/>
    <w:semiHidden/>
    <w:qFormat/>
    <w:uiPriority w:val="0"/>
    <w:rPr>
      <w:rFonts w:ascii="Arial" w:hAnsi="Arial" w:eastAsia="宋体" w:cs="Arial"/>
      <w:sz w:val="24"/>
      <w:szCs w:val="24"/>
      <w:shd w:val="pct20" w:color="auto" w:fill="auto"/>
    </w:rPr>
  </w:style>
  <w:style w:type="character" w:customStyle="1" w:styleId="161">
    <w:name w:val="正文文本 3 字符"/>
    <w:link w:val="28"/>
    <w:semiHidden/>
    <w:qFormat/>
    <w:uiPriority w:val="0"/>
    <w:rPr>
      <w:rFonts w:ascii="Times New Roman" w:hAnsi="Times New Roman" w:eastAsia="宋体" w:cs="Times New Roman"/>
      <w:sz w:val="16"/>
      <w:szCs w:val="16"/>
    </w:rPr>
  </w:style>
  <w:style w:type="character" w:customStyle="1" w:styleId="162">
    <w:name w:val="批注框文本 字符"/>
    <w:link w:val="51"/>
    <w:semiHidden/>
    <w:qFormat/>
    <w:uiPriority w:val="0"/>
    <w:rPr>
      <w:rFonts w:ascii="Times New Roman" w:hAnsi="Times New Roman" w:eastAsia="宋体" w:cs="Times New Roman"/>
      <w:sz w:val="18"/>
      <w:szCs w:val="18"/>
    </w:rPr>
  </w:style>
  <w:style w:type="character" w:customStyle="1" w:styleId="163">
    <w:name w:val="批注主题 字符"/>
    <w:link w:val="77"/>
    <w:semiHidden/>
    <w:qFormat/>
    <w:uiPriority w:val="0"/>
    <w:rPr>
      <w:rFonts w:ascii="Times New Roman" w:hAnsi="Times New Roman" w:eastAsia="宋体" w:cs="Times New Roman"/>
      <w:b/>
      <w:bCs/>
      <w:szCs w:val="24"/>
    </w:rPr>
  </w:style>
  <w:style w:type="character" w:customStyle="1" w:styleId="164">
    <w:name w:val="ss1"/>
    <w:semiHidden/>
    <w:qFormat/>
    <w:uiPriority w:val="0"/>
    <w:rPr>
      <w:rFonts w:hint="default" w:ascii="ˎ̥" w:hAnsi="ˎ̥"/>
      <w:color w:val="000000"/>
      <w:sz w:val="18"/>
      <w:szCs w:val="18"/>
      <w:u w:val="none"/>
    </w:rPr>
  </w:style>
  <w:style w:type="character" w:customStyle="1" w:styleId="165">
    <w:name w:val="正文文本缩进 2 字符"/>
    <w:link w:val="48"/>
    <w:semiHidden/>
    <w:qFormat/>
    <w:uiPriority w:val="0"/>
    <w:rPr>
      <w:rFonts w:ascii="Times New Roman" w:hAnsi="Times New Roman" w:eastAsia="宋体" w:cs="Times New Roman"/>
      <w:szCs w:val="24"/>
    </w:rPr>
  </w:style>
  <w:style w:type="character" w:customStyle="1" w:styleId="166">
    <w:name w:val="f142"/>
    <w:semiHidden/>
    <w:qFormat/>
    <w:uiPriority w:val="0"/>
    <w:rPr>
      <w:sz w:val="21"/>
      <w:szCs w:val="21"/>
    </w:rPr>
  </w:style>
  <w:style w:type="character" w:customStyle="1" w:styleId="167">
    <w:name w:val="f14b1"/>
    <w:semiHidden/>
    <w:qFormat/>
    <w:uiPriority w:val="0"/>
    <w:rPr>
      <w:b/>
      <w:bCs/>
      <w:sz w:val="21"/>
      <w:szCs w:val="21"/>
    </w:rPr>
  </w:style>
  <w:style w:type="character" w:customStyle="1" w:styleId="168">
    <w:name w:val="ggwenhao"/>
    <w:basedOn w:val="125"/>
    <w:semiHidden/>
    <w:qFormat/>
    <w:uiPriority w:val="0"/>
  </w:style>
  <w:style w:type="character" w:customStyle="1" w:styleId="169">
    <w:name w:val="HTML 地址 字符"/>
    <w:link w:val="38"/>
    <w:semiHidden/>
    <w:qFormat/>
    <w:uiPriority w:val="0"/>
    <w:rPr>
      <w:rFonts w:ascii="Times New Roman" w:hAnsi="Times New Roman" w:eastAsia="宋体" w:cs="Times New Roman"/>
      <w:i/>
      <w:iCs/>
      <w:szCs w:val="24"/>
    </w:rPr>
  </w:style>
  <w:style w:type="character" w:customStyle="1" w:styleId="170">
    <w:name w:val="称呼 字符"/>
    <w:link w:val="27"/>
    <w:semiHidden/>
    <w:qFormat/>
    <w:uiPriority w:val="0"/>
    <w:rPr>
      <w:rFonts w:ascii="Times New Roman" w:hAnsi="Times New Roman" w:eastAsia="宋体" w:cs="Times New Roman"/>
      <w:szCs w:val="24"/>
    </w:rPr>
  </w:style>
  <w:style w:type="character" w:customStyle="1" w:styleId="171">
    <w:name w:val="结束语 字符"/>
    <w:link w:val="29"/>
    <w:semiHidden/>
    <w:qFormat/>
    <w:uiPriority w:val="0"/>
    <w:rPr>
      <w:rFonts w:ascii="Times New Roman" w:hAnsi="Times New Roman" w:eastAsia="宋体" w:cs="Times New Roman"/>
      <w:szCs w:val="24"/>
    </w:rPr>
  </w:style>
  <w:style w:type="character" w:customStyle="1" w:styleId="172">
    <w:name w:val="正文文本首行缩进 字符"/>
    <w:link w:val="78"/>
    <w:semiHidden/>
    <w:qFormat/>
    <w:uiPriority w:val="0"/>
    <w:rPr>
      <w:rFonts w:ascii="Times New Roman"/>
      <w:szCs w:val="24"/>
    </w:rPr>
  </w:style>
  <w:style w:type="character" w:customStyle="1" w:styleId="173">
    <w:name w:val="页眉 字符"/>
    <w:link w:val="54"/>
    <w:qFormat/>
    <w:uiPriority w:val="0"/>
    <w:rPr>
      <w:rFonts w:ascii="Times New Roman" w:hAnsi="Times New Roman" w:eastAsia="宋体" w:cs="Times New Roman"/>
      <w:sz w:val="18"/>
      <w:szCs w:val="18"/>
    </w:rPr>
  </w:style>
  <w:style w:type="character" w:customStyle="1" w:styleId="174">
    <w:name w:val="ca-41"/>
    <w:qFormat/>
    <w:uiPriority w:val="0"/>
    <w:rPr>
      <w:rFonts w:hint="eastAsia" w:ascii="黑体" w:eastAsia="黑体"/>
      <w:b/>
      <w:bCs/>
      <w:spacing w:val="-20"/>
      <w:sz w:val="30"/>
      <w:szCs w:val="30"/>
    </w:rPr>
  </w:style>
  <w:style w:type="character" w:customStyle="1" w:styleId="175">
    <w:name w:val="注释标题 字符1"/>
    <w:basedOn w:val="125"/>
    <w:semiHidden/>
    <w:qFormat/>
    <w:uiPriority w:val="99"/>
  </w:style>
  <w:style w:type="character" w:customStyle="1" w:styleId="176">
    <w:name w:val="注释标题 Char1"/>
    <w:basedOn w:val="125"/>
    <w:semiHidden/>
    <w:qFormat/>
    <w:uiPriority w:val="99"/>
    <w:rPr>
      <w:rFonts w:ascii="Times New Roman" w:hAnsi="Times New Roman" w:eastAsia="宋体" w:cs="Times New Roman"/>
      <w:szCs w:val="20"/>
    </w:rPr>
  </w:style>
  <w:style w:type="character" w:customStyle="1" w:styleId="177">
    <w:name w:val="正文文本 3 字符1"/>
    <w:basedOn w:val="125"/>
    <w:semiHidden/>
    <w:qFormat/>
    <w:uiPriority w:val="99"/>
    <w:rPr>
      <w:sz w:val="16"/>
      <w:szCs w:val="16"/>
    </w:rPr>
  </w:style>
  <w:style w:type="character" w:customStyle="1" w:styleId="178">
    <w:name w:val="正文文本 3 Char1"/>
    <w:basedOn w:val="125"/>
    <w:semiHidden/>
    <w:qFormat/>
    <w:uiPriority w:val="99"/>
    <w:rPr>
      <w:rFonts w:ascii="Times New Roman" w:hAnsi="Times New Roman" w:eastAsia="宋体" w:cs="Times New Roman"/>
      <w:sz w:val="16"/>
      <w:szCs w:val="16"/>
    </w:rPr>
  </w:style>
  <w:style w:type="character" w:customStyle="1" w:styleId="179">
    <w:name w:val="批注文字 字符"/>
    <w:basedOn w:val="125"/>
    <w:link w:val="25"/>
    <w:semiHidden/>
    <w:qFormat/>
    <w:uiPriority w:val="0"/>
    <w:rPr>
      <w:rFonts w:ascii="Times New Roman" w:hAnsi="Times New Roman" w:eastAsia="宋体" w:cs="Times New Roman"/>
      <w:szCs w:val="20"/>
    </w:rPr>
  </w:style>
  <w:style w:type="character" w:customStyle="1" w:styleId="180">
    <w:name w:val="批注主题 字符1"/>
    <w:basedOn w:val="179"/>
    <w:semiHidden/>
    <w:qFormat/>
    <w:uiPriority w:val="99"/>
    <w:rPr>
      <w:rFonts w:ascii="Times New Roman" w:hAnsi="Times New Roman" w:eastAsia="宋体" w:cs="Times New Roman"/>
      <w:b/>
      <w:bCs/>
      <w:szCs w:val="20"/>
    </w:rPr>
  </w:style>
  <w:style w:type="character" w:customStyle="1" w:styleId="181">
    <w:name w:val="批注主题 Char1"/>
    <w:basedOn w:val="179"/>
    <w:semiHidden/>
    <w:qFormat/>
    <w:uiPriority w:val="99"/>
    <w:rPr>
      <w:rFonts w:ascii="Times New Roman" w:hAnsi="Times New Roman" w:eastAsia="宋体" w:cs="Times New Roman"/>
      <w:b/>
      <w:bCs/>
      <w:szCs w:val="20"/>
    </w:rPr>
  </w:style>
  <w:style w:type="character" w:customStyle="1" w:styleId="182">
    <w:name w:val="正文文本 字符"/>
    <w:basedOn w:val="125"/>
    <w:link w:val="31"/>
    <w:semiHidden/>
    <w:qFormat/>
    <w:uiPriority w:val="99"/>
    <w:rPr>
      <w:rFonts w:ascii="Times New Roman" w:hAnsi="Times New Roman" w:eastAsia="宋体" w:cs="Times New Roman"/>
      <w:szCs w:val="20"/>
    </w:rPr>
  </w:style>
  <w:style w:type="character" w:customStyle="1" w:styleId="183">
    <w:name w:val="正文文本首行缩进 字符1"/>
    <w:basedOn w:val="182"/>
    <w:semiHidden/>
    <w:qFormat/>
    <w:uiPriority w:val="99"/>
    <w:rPr>
      <w:rFonts w:ascii="Times New Roman" w:hAnsi="Times New Roman" w:eastAsia="宋体" w:cs="Times New Roman"/>
      <w:szCs w:val="20"/>
    </w:rPr>
  </w:style>
  <w:style w:type="character" w:customStyle="1" w:styleId="184">
    <w:name w:val="正文首行缩进 Char1"/>
    <w:basedOn w:val="182"/>
    <w:semiHidden/>
    <w:qFormat/>
    <w:uiPriority w:val="99"/>
    <w:rPr>
      <w:rFonts w:ascii="Times New Roman" w:hAnsi="Times New Roman" w:eastAsia="宋体" w:cs="Times New Roman"/>
      <w:szCs w:val="20"/>
    </w:rPr>
  </w:style>
  <w:style w:type="character" w:customStyle="1" w:styleId="185">
    <w:name w:val="结束语 字符1"/>
    <w:basedOn w:val="125"/>
    <w:semiHidden/>
    <w:qFormat/>
    <w:uiPriority w:val="99"/>
  </w:style>
  <w:style w:type="character" w:customStyle="1" w:styleId="186">
    <w:name w:val="结束语 Char1"/>
    <w:basedOn w:val="125"/>
    <w:semiHidden/>
    <w:qFormat/>
    <w:uiPriority w:val="99"/>
    <w:rPr>
      <w:rFonts w:ascii="Times New Roman" w:hAnsi="Times New Roman" w:eastAsia="宋体" w:cs="Times New Roman"/>
      <w:szCs w:val="20"/>
    </w:rPr>
  </w:style>
  <w:style w:type="character" w:customStyle="1" w:styleId="187">
    <w:name w:val="称呼 字符1"/>
    <w:basedOn w:val="125"/>
    <w:semiHidden/>
    <w:qFormat/>
    <w:uiPriority w:val="99"/>
  </w:style>
  <w:style w:type="character" w:customStyle="1" w:styleId="188">
    <w:name w:val="称呼 Char1"/>
    <w:basedOn w:val="125"/>
    <w:semiHidden/>
    <w:qFormat/>
    <w:uiPriority w:val="99"/>
    <w:rPr>
      <w:rFonts w:ascii="Times New Roman" w:hAnsi="Times New Roman" w:eastAsia="宋体" w:cs="Times New Roman"/>
      <w:szCs w:val="20"/>
    </w:rPr>
  </w:style>
  <w:style w:type="character" w:customStyle="1" w:styleId="189">
    <w:name w:val="电子邮件签名 字符1"/>
    <w:basedOn w:val="125"/>
    <w:semiHidden/>
    <w:qFormat/>
    <w:uiPriority w:val="99"/>
  </w:style>
  <w:style w:type="character" w:customStyle="1" w:styleId="190">
    <w:name w:val="电子邮件签名 Char1"/>
    <w:basedOn w:val="125"/>
    <w:semiHidden/>
    <w:qFormat/>
    <w:uiPriority w:val="99"/>
    <w:rPr>
      <w:rFonts w:ascii="Times New Roman" w:hAnsi="Times New Roman" w:eastAsia="宋体" w:cs="Times New Roman"/>
      <w:szCs w:val="20"/>
    </w:rPr>
  </w:style>
  <w:style w:type="character" w:customStyle="1" w:styleId="191">
    <w:name w:val="文档结构图 字符1"/>
    <w:basedOn w:val="125"/>
    <w:semiHidden/>
    <w:qFormat/>
    <w:uiPriority w:val="99"/>
    <w:rPr>
      <w:rFonts w:ascii="Microsoft YaHei UI" w:eastAsia="Microsoft YaHei UI"/>
      <w:sz w:val="18"/>
      <w:szCs w:val="18"/>
    </w:rPr>
  </w:style>
  <w:style w:type="character" w:customStyle="1" w:styleId="192">
    <w:name w:val="文档结构图 Char1"/>
    <w:basedOn w:val="125"/>
    <w:semiHidden/>
    <w:qFormat/>
    <w:uiPriority w:val="99"/>
    <w:rPr>
      <w:rFonts w:ascii="宋体" w:hAnsi="Times New Roman" w:eastAsia="宋体" w:cs="Times New Roman"/>
      <w:sz w:val="18"/>
      <w:szCs w:val="18"/>
    </w:rPr>
  </w:style>
  <w:style w:type="character" w:customStyle="1" w:styleId="193">
    <w:name w:val="签名 字符1"/>
    <w:basedOn w:val="125"/>
    <w:semiHidden/>
    <w:qFormat/>
    <w:uiPriority w:val="99"/>
  </w:style>
  <w:style w:type="character" w:customStyle="1" w:styleId="194">
    <w:name w:val="签名 Char1"/>
    <w:basedOn w:val="125"/>
    <w:semiHidden/>
    <w:qFormat/>
    <w:uiPriority w:val="99"/>
    <w:rPr>
      <w:rFonts w:ascii="Times New Roman" w:hAnsi="Times New Roman" w:eastAsia="宋体" w:cs="Times New Roman"/>
      <w:szCs w:val="20"/>
    </w:rPr>
  </w:style>
  <w:style w:type="character" w:customStyle="1" w:styleId="195">
    <w:name w:val="正文文本缩进 2 字符1"/>
    <w:basedOn w:val="125"/>
    <w:semiHidden/>
    <w:qFormat/>
    <w:uiPriority w:val="99"/>
  </w:style>
  <w:style w:type="character" w:customStyle="1" w:styleId="196">
    <w:name w:val="正文文本缩进 2 Char1"/>
    <w:basedOn w:val="125"/>
    <w:semiHidden/>
    <w:qFormat/>
    <w:uiPriority w:val="99"/>
    <w:rPr>
      <w:rFonts w:ascii="Times New Roman" w:hAnsi="Times New Roman" w:eastAsia="宋体" w:cs="Times New Roman"/>
      <w:szCs w:val="20"/>
    </w:rPr>
  </w:style>
  <w:style w:type="character" w:customStyle="1" w:styleId="197">
    <w:name w:val="HTML 预设格式 字符1"/>
    <w:basedOn w:val="125"/>
    <w:semiHidden/>
    <w:qFormat/>
    <w:uiPriority w:val="99"/>
    <w:rPr>
      <w:rFonts w:ascii="Courier New" w:hAnsi="Courier New" w:cs="Courier New"/>
      <w:sz w:val="20"/>
      <w:szCs w:val="20"/>
    </w:rPr>
  </w:style>
  <w:style w:type="character" w:customStyle="1" w:styleId="198">
    <w:name w:val="HTML 预设格式 Char1"/>
    <w:basedOn w:val="125"/>
    <w:semiHidden/>
    <w:qFormat/>
    <w:uiPriority w:val="99"/>
    <w:rPr>
      <w:rFonts w:ascii="Courier New" w:hAnsi="Courier New" w:eastAsia="宋体" w:cs="Courier New"/>
      <w:sz w:val="20"/>
      <w:szCs w:val="20"/>
    </w:rPr>
  </w:style>
  <w:style w:type="character" w:customStyle="1" w:styleId="199">
    <w:name w:val="页眉 字符1"/>
    <w:basedOn w:val="125"/>
    <w:semiHidden/>
    <w:qFormat/>
    <w:uiPriority w:val="99"/>
    <w:rPr>
      <w:sz w:val="18"/>
      <w:szCs w:val="18"/>
    </w:rPr>
  </w:style>
  <w:style w:type="character" w:customStyle="1" w:styleId="200">
    <w:name w:val="页眉 Char1"/>
    <w:basedOn w:val="125"/>
    <w:semiHidden/>
    <w:qFormat/>
    <w:uiPriority w:val="99"/>
    <w:rPr>
      <w:rFonts w:ascii="Times New Roman" w:hAnsi="Times New Roman" w:eastAsia="宋体" w:cs="Times New Roman"/>
      <w:sz w:val="18"/>
      <w:szCs w:val="18"/>
    </w:rPr>
  </w:style>
  <w:style w:type="character" w:customStyle="1" w:styleId="201">
    <w:name w:val="HTML 地址 字符1"/>
    <w:basedOn w:val="125"/>
    <w:semiHidden/>
    <w:qFormat/>
    <w:uiPriority w:val="99"/>
    <w:rPr>
      <w:i/>
      <w:iCs/>
    </w:rPr>
  </w:style>
  <w:style w:type="character" w:customStyle="1" w:styleId="202">
    <w:name w:val="HTML 地址 Char1"/>
    <w:basedOn w:val="125"/>
    <w:semiHidden/>
    <w:qFormat/>
    <w:uiPriority w:val="99"/>
    <w:rPr>
      <w:rFonts w:ascii="Times New Roman" w:hAnsi="Times New Roman" w:eastAsia="宋体" w:cs="Times New Roman"/>
      <w:i/>
      <w:iCs/>
      <w:szCs w:val="20"/>
    </w:rPr>
  </w:style>
  <w:style w:type="character" w:customStyle="1" w:styleId="203">
    <w:name w:val="正文文本缩进 字符"/>
    <w:basedOn w:val="125"/>
    <w:link w:val="32"/>
    <w:semiHidden/>
    <w:qFormat/>
    <w:uiPriority w:val="99"/>
    <w:rPr>
      <w:rFonts w:ascii="Times New Roman" w:hAnsi="Times New Roman" w:eastAsia="宋体" w:cs="Times New Roman"/>
      <w:szCs w:val="20"/>
    </w:rPr>
  </w:style>
  <w:style w:type="character" w:customStyle="1" w:styleId="204">
    <w:name w:val="正文文本首行缩进 2 字符1"/>
    <w:basedOn w:val="203"/>
    <w:semiHidden/>
    <w:qFormat/>
    <w:uiPriority w:val="99"/>
    <w:rPr>
      <w:rFonts w:ascii="Times New Roman" w:hAnsi="Times New Roman" w:eastAsia="宋体" w:cs="Times New Roman"/>
      <w:szCs w:val="20"/>
    </w:rPr>
  </w:style>
  <w:style w:type="character" w:customStyle="1" w:styleId="205">
    <w:name w:val="正文首行缩进 2 Char1"/>
    <w:basedOn w:val="203"/>
    <w:semiHidden/>
    <w:qFormat/>
    <w:uiPriority w:val="99"/>
    <w:rPr>
      <w:rFonts w:ascii="Times New Roman" w:hAnsi="Times New Roman" w:eastAsia="宋体" w:cs="Times New Roman"/>
      <w:szCs w:val="20"/>
    </w:rPr>
  </w:style>
  <w:style w:type="character" w:customStyle="1" w:styleId="206">
    <w:name w:val="纯文本 字符"/>
    <w:basedOn w:val="125"/>
    <w:link w:val="42"/>
    <w:qFormat/>
    <w:uiPriority w:val="0"/>
    <w:rPr>
      <w:rFonts w:ascii="宋体" w:hAnsi="Courier New" w:eastAsia="宋体" w:cs="Times New Roman"/>
      <w:kern w:val="0"/>
      <w:sz w:val="20"/>
      <w:szCs w:val="21"/>
    </w:rPr>
  </w:style>
  <w:style w:type="character" w:customStyle="1" w:styleId="207">
    <w:name w:val="批注框文本 字符1"/>
    <w:basedOn w:val="125"/>
    <w:semiHidden/>
    <w:qFormat/>
    <w:uiPriority w:val="99"/>
    <w:rPr>
      <w:sz w:val="18"/>
      <w:szCs w:val="18"/>
    </w:rPr>
  </w:style>
  <w:style w:type="character" w:customStyle="1" w:styleId="208">
    <w:name w:val="批注框文本 Char1"/>
    <w:basedOn w:val="125"/>
    <w:semiHidden/>
    <w:qFormat/>
    <w:uiPriority w:val="99"/>
    <w:rPr>
      <w:rFonts w:ascii="Times New Roman" w:hAnsi="Times New Roman" w:eastAsia="宋体" w:cs="Times New Roman"/>
      <w:sz w:val="18"/>
      <w:szCs w:val="18"/>
    </w:rPr>
  </w:style>
  <w:style w:type="character" w:customStyle="1" w:styleId="209">
    <w:name w:val="页脚 字符1"/>
    <w:basedOn w:val="125"/>
    <w:semiHidden/>
    <w:qFormat/>
    <w:uiPriority w:val="99"/>
    <w:rPr>
      <w:sz w:val="18"/>
      <w:szCs w:val="18"/>
    </w:rPr>
  </w:style>
  <w:style w:type="character" w:customStyle="1" w:styleId="210">
    <w:name w:val="页脚 Char1"/>
    <w:basedOn w:val="125"/>
    <w:semiHidden/>
    <w:qFormat/>
    <w:uiPriority w:val="99"/>
    <w:rPr>
      <w:rFonts w:ascii="Times New Roman" w:hAnsi="Times New Roman" w:eastAsia="宋体" w:cs="Times New Roman"/>
      <w:sz w:val="18"/>
      <w:szCs w:val="18"/>
    </w:rPr>
  </w:style>
  <w:style w:type="character" w:customStyle="1" w:styleId="211">
    <w:name w:val="信息标题 字符1"/>
    <w:basedOn w:val="125"/>
    <w:semiHidden/>
    <w:qFormat/>
    <w:uiPriority w:val="99"/>
    <w:rPr>
      <w:rFonts w:asciiTheme="majorHAnsi" w:hAnsiTheme="majorHAnsi" w:eastAsiaTheme="majorEastAsia" w:cstheme="majorBidi"/>
      <w:sz w:val="24"/>
      <w:szCs w:val="24"/>
      <w:shd w:val="pct20" w:color="auto" w:fill="auto"/>
    </w:rPr>
  </w:style>
  <w:style w:type="character" w:customStyle="1" w:styleId="212">
    <w:name w:val="信息标题 Char1"/>
    <w:basedOn w:val="125"/>
    <w:semiHidden/>
    <w:qFormat/>
    <w:uiPriority w:val="99"/>
    <w:rPr>
      <w:rFonts w:asciiTheme="majorHAnsi" w:hAnsiTheme="majorHAnsi" w:eastAsiaTheme="majorEastAsia" w:cstheme="majorBidi"/>
      <w:sz w:val="24"/>
      <w:szCs w:val="24"/>
      <w:shd w:val="pct20" w:color="auto" w:fill="auto"/>
    </w:rPr>
  </w:style>
  <w:style w:type="paragraph" w:customStyle="1" w:styleId="213">
    <w:name w:val="ggbody"/>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14">
    <w:name w:val="ggtitle"/>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15">
    <w:name w:val="style9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6">
    <w:name w:val="纯文本 Char1"/>
    <w:qFormat/>
    <w:uiPriority w:val="0"/>
    <w:rPr>
      <w:rFonts w:ascii="宋体" w:hAnsi="Courier New" w:cs="Courier New"/>
      <w:kern w:val="2"/>
      <w:sz w:val="21"/>
      <w:szCs w:val="21"/>
    </w:rPr>
  </w:style>
  <w:style w:type="character" w:customStyle="1" w:styleId="217">
    <w:name w:val="Char Char23"/>
    <w:semiHidden/>
    <w:qFormat/>
    <w:uiPriority w:val="0"/>
    <w:rPr>
      <w:rFonts w:ascii="Times New Roman" w:hAnsi="Times New Roman" w:eastAsia="宋体" w:cs="Times New Roman"/>
      <w:b/>
      <w:bCs/>
      <w:szCs w:val="24"/>
    </w:rPr>
  </w:style>
  <w:style w:type="character" w:customStyle="1" w:styleId="218">
    <w:name w:val="尾注文本 字符"/>
    <w:link w:val="49"/>
    <w:semiHidden/>
    <w:qFormat/>
    <w:uiPriority w:val="0"/>
    <w:rPr>
      <w:rFonts w:ascii="Times New Roman" w:hAnsi="Times New Roman" w:eastAsia="宋体" w:cs="Times New Roman"/>
      <w:szCs w:val="24"/>
    </w:rPr>
  </w:style>
  <w:style w:type="character" w:customStyle="1" w:styleId="219">
    <w:name w:val="脚注文本 字符"/>
    <w:link w:val="63"/>
    <w:semiHidden/>
    <w:qFormat/>
    <w:uiPriority w:val="0"/>
    <w:rPr>
      <w:rFonts w:ascii="Times New Roman" w:hAnsi="Times New Roman" w:eastAsia="宋体" w:cs="Times New Roman"/>
      <w:sz w:val="18"/>
      <w:szCs w:val="20"/>
    </w:rPr>
  </w:style>
  <w:style w:type="character" w:customStyle="1" w:styleId="220">
    <w:name w:val="脚注文本 字符1"/>
    <w:basedOn w:val="125"/>
    <w:semiHidden/>
    <w:qFormat/>
    <w:uiPriority w:val="99"/>
    <w:rPr>
      <w:sz w:val="18"/>
      <w:szCs w:val="18"/>
    </w:rPr>
  </w:style>
  <w:style w:type="character" w:customStyle="1" w:styleId="221">
    <w:name w:val="脚注文本 Char1"/>
    <w:basedOn w:val="125"/>
    <w:semiHidden/>
    <w:qFormat/>
    <w:uiPriority w:val="99"/>
    <w:rPr>
      <w:rFonts w:ascii="Times New Roman" w:hAnsi="Times New Roman" w:eastAsia="宋体" w:cs="Times New Roman"/>
      <w:sz w:val="18"/>
      <w:szCs w:val="18"/>
    </w:rPr>
  </w:style>
  <w:style w:type="character" w:customStyle="1" w:styleId="222">
    <w:name w:val="尾注文本 字符1"/>
    <w:basedOn w:val="125"/>
    <w:semiHidden/>
    <w:qFormat/>
    <w:uiPriority w:val="99"/>
  </w:style>
  <w:style w:type="character" w:customStyle="1" w:styleId="223">
    <w:name w:val="尾注文本 Char1"/>
    <w:basedOn w:val="125"/>
    <w:semiHidden/>
    <w:qFormat/>
    <w:uiPriority w:val="99"/>
    <w:rPr>
      <w:rFonts w:ascii="Times New Roman" w:hAnsi="Times New Roman" w:eastAsia="宋体" w:cs="Times New Roman"/>
      <w:szCs w:val="20"/>
    </w:rPr>
  </w:style>
  <w:style w:type="paragraph" w:customStyle="1" w:styleId="224">
    <w:name w:val="HTML Top of Form"/>
    <w:basedOn w:val="1"/>
    <w:next w:val="1"/>
    <w:link w:val="225"/>
    <w:unhideWhenUsed/>
    <w:qFormat/>
    <w:uiPriority w:val="99"/>
    <w:pPr>
      <w:widowControl/>
      <w:pBdr>
        <w:bottom w:val="single" w:color="auto" w:sz="6" w:space="1"/>
      </w:pBdr>
      <w:jc w:val="center"/>
    </w:pPr>
    <w:rPr>
      <w:rFonts w:ascii="Arial" w:hAnsi="Arial" w:eastAsia="宋体" w:cs="Times New Roman"/>
      <w:vanish/>
      <w:kern w:val="0"/>
      <w:sz w:val="16"/>
      <w:szCs w:val="16"/>
    </w:rPr>
  </w:style>
  <w:style w:type="character" w:customStyle="1" w:styleId="225">
    <w:name w:val="z-窗体顶端 字符"/>
    <w:basedOn w:val="125"/>
    <w:link w:val="224"/>
    <w:qFormat/>
    <w:uiPriority w:val="99"/>
    <w:rPr>
      <w:rFonts w:ascii="Arial" w:hAnsi="Arial" w:eastAsia="宋体" w:cs="Times New Roman"/>
      <w:vanish/>
      <w:kern w:val="0"/>
      <w:sz w:val="16"/>
      <w:szCs w:val="16"/>
    </w:rPr>
  </w:style>
  <w:style w:type="paragraph" w:customStyle="1" w:styleId="226">
    <w:name w:val="HTML Bottom of Form"/>
    <w:basedOn w:val="1"/>
    <w:next w:val="1"/>
    <w:link w:val="227"/>
    <w:unhideWhenUsed/>
    <w:qFormat/>
    <w:uiPriority w:val="99"/>
    <w:pPr>
      <w:widowControl/>
      <w:pBdr>
        <w:top w:val="single" w:color="auto" w:sz="6" w:space="1"/>
      </w:pBdr>
      <w:jc w:val="center"/>
    </w:pPr>
    <w:rPr>
      <w:rFonts w:ascii="Arial" w:hAnsi="Arial" w:eastAsia="宋体" w:cs="Times New Roman"/>
      <w:vanish/>
      <w:kern w:val="0"/>
      <w:sz w:val="16"/>
      <w:szCs w:val="16"/>
    </w:rPr>
  </w:style>
  <w:style w:type="character" w:customStyle="1" w:styleId="227">
    <w:name w:val="z-窗体底端 字符"/>
    <w:basedOn w:val="125"/>
    <w:link w:val="226"/>
    <w:qFormat/>
    <w:uiPriority w:val="99"/>
    <w:rPr>
      <w:rFonts w:ascii="Arial" w:hAnsi="Arial" w:eastAsia="宋体" w:cs="Times New Roman"/>
      <w:vanish/>
      <w:kern w:val="0"/>
      <w:sz w:val="16"/>
      <w:szCs w:val="16"/>
    </w:rPr>
  </w:style>
  <w:style w:type="character" w:customStyle="1" w:styleId="228">
    <w:name w:val="日期 字符"/>
    <w:basedOn w:val="125"/>
    <w:link w:val="47"/>
    <w:semiHidden/>
    <w:qFormat/>
    <w:uiPriority w:val="0"/>
    <w:rPr>
      <w:rFonts w:ascii="Times New Roman" w:hAnsi="Times New Roman" w:eastAsia="宋体" w:cs="Times New Roman"/>
      <w:szCs w:val="20"/>
    </w:rPr>
  </w:style>
  <w:style w:type="paragraph" w:customStyle="1" w:styleId="229">
    <w:name w:val="_Style 10"/>
    <w:qFormat/>
    <w:uiPriority w:val="0"/>
    <w:rPr>
      <w:rFonts w:ascii="Calibri" w:hAnsi="Calibri" w:eastAsia="宋体" w:cs="Times New Roman"/>
      <w:kern w:val="2"/>
      <w:sz w:val="21"/>
      <w:szCs w:val="22"/>
      <w:lang w:val="en-US" w:eastAsia="zh-CN" w:bidi="ar-SA"/>
    </w:rPr>
  </w:style>
  <w:style w:type="paragraph" w:customStyle="1" w:styleId="230">
    <w:name w:val="Table Paragraph"/>
    <w:basedOn w:val="1"/>
    <w:qFormat/>
    <w:uiPriority w:val="0"/>
    <w:rPr>
      <w:rFonts w:hint="default" w:ascii="Calibri" w:hAnsi="Calibri"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3674</Words>
  <Characters>20948</Characters>
  <Lines>174</Lines>
  <Paragraphs>49</Paragraphs>
  <TotalTime>1</TotalTime>
  <ScaleCrop>false</ScaleCrop>
  <LinksUpToDate>false</LinksUpToDate>
  <CharactersWithSpaces>24573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2020-09-01T10:58:00Z</dcterms:created>
  <dc:creator>靳 欢</dc:creator>
  <cp:lastModifiedBy>Administrator</cp:lastModifiedBy>
  <dcterms:modified xsi:type="dcterms:W3CDTF">2022-12-09T01:02:14Z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