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BA" w:rsidRDefault="00BF3FEB" w:rsidP="00EC53BA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2022</w:t>
      </w:r>
      <w:r w:rsidR="00EC53BA" w:rsidRPr="00EC53B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年潮州市市场监督管理局塑料鞋产品</w:t>
      </w:r>
    </w:p>
    <w:p w:rsidR="00FB5BB3" w:rsidRDefault="00EC53BA" w:rsidP="00EC53BA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EC53B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质量监督抽查实施细则</w:t>
      </w:r>
    </w:p>
    <w:p w:rsidR="00FB5BB3" w:rsidRDefault="0080516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本细则由潮州市市场监督管理局制定，适用于潮州市市场监督管理局组织的</w:t>
      </w:r>
      <w:r w:rsidR="00EC53BA">
        <w:rPr>
          <w:rFonts w:ascii="仿宋_GB2312" w:eastAsia="仿宋_GB2312" w:hAnsi="仿宋_GB2312" w:cs="仿宋_GB2312" w:hint="eastAsia"/>
          <w:sz w:val="32"/>
          <w:szCs w:val="32"/>
        </w:rPr>
        <w:t>塑料鞋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产品质量监督抽查的抽样、检验等工作。</w:t>
      </w:r>
    </w:p>
    <w:p w:rsidR="00EC53BA" w:rsidRDefault="00EC53BA" w:rsidP="00EC53BA">
      <w:pPr>
        <w:numPr>
          <w:ilvl w:val="0"/>
          <w:numId w:val="1"/>
        </w:num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监督抽查的产品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一）抽查产品：</w:t>
      </w:r>
      <w:r>
        <w:rPr>
          <w:rFonts w:ascii="仿宋_GB2312" w:eastAsia="仿宋_GB2312" w:hAnsi="仿宋_GB2312" w:cs="仿宋_GB2312" w:hint="eastAsia"/>
          <w:sz w:val="32"/>
          <w:szCs w:val="32"/>
        </w:rPr>
        <w:t>塑料鞋。</w:t>
      </w:r>
    </w:p>
    <w:p w:rsidR="00EC53BA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（二）监督总体：</w:t>
      </w:r>
      <w:r w:rsidRPr="00725764">
        <w:rPr>
          <w:rFonts w:ascii="仿宋_GB2312" w:eastAsia="仿宋_GB2312" w:hAnsi="仿宋_GB2312" w:cs="仿宋_GB2312" w:hint="eastAsia"/>
          <w:sz w:val="32"/>
          <w:szCs w:val="32"/>
        </w:rPr>
        <w:t>潮州市生产</w:t>
      </w:r>
      <w:r w:rsidR="00CE3FC1">
        <w:rPr>
          <w:rFonts w:ascii="仿宋_GB2312" w:eastAsia="仿宋_GB2312" w:hAnsi="仿宋_GB2312" w:cs="仿宋_GB2312" w:hint="eastAsia"/>
          <w:sz w:val="32"/>
          <w:szCs w:val="32"/>
        </w:rPr>
        <w:t>领域</w:t>
      </w:r>
      <w:r w:rsidRPr="00725764">
        <w:rPr>
          <w:rFonts w:ascii="仿宋_GB2312" w:eastAsia="仿宋_GB2312" w:hAnsi="仿宋_GB2312" w:cs="仿宋_GB2312" w:hint="eastAsia"/>
          <w:sz w:val="32"/>
          <w:szCs w:val="32"/>
        </w:rPr>
        <w:t>抽取的样品</w:t>
      </w:r>
      <w:r>
        <w:rPr>
          <w:rFonts w:ascii="仿宋_GB2312" w:eastAsia="仿宋_GB2312" w:hAnsi="仿宋_GB2312" w:cs="仿宋_GB2312" w:hint="eastAsia"/>
          <w:sz w:val="32"/>
          <w:szCs w:val="32"/>
        </w:rPr>
        <w:t>同一标称生产者或商标、同一标准、同一型号（规格）的产品集合。</w:t>
      </w:r>
    </w:p>
    <w:p w:rsidR="00EC53BA" w:rsidRDefault="00EC53BA" w:rsidP="00EC53B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二、抽样检验程序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（一）《产品质量监督抽查管理暂行办法》（国家市场监督管理总局令第</w:t>
      </w:r>
      <w:r w:rsidRPr="008948DD">
        <w:rPr>
          <w:rFonts w:ascii="仿宋_GB2312" w:eastAsia="仿宋_GB2312" w:hAnsi="仿宋_GB2312" w:cs="仿宋_GB2312"/>
          <w:sz w:val="32"/>
          <w:szCs w:val="32"/>
        </w:rPr>
        <w:t>18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号）。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Pr="008948DD">
        <w:rPr>
          <w:rFonts w:ascii="仿宋_GB2312" w:eastAsia="仿宋_GB2312" w:hAnsi="仿宋_GB2312" w:cs="仿宋_GB2312"/>
          <w:sz w:val="32"/>
          <w:szCs w:val="32"/>
        </w:rPr>
        <w:t>T/GDAQI 020-</w:t>
      </w:r>
      <w:r w:rsidR="00BF3FEB" w:rsidRPr="008948DD">
        <w:rPr>
          <w:rFonts w:ascii="仿宋_GB2312" w:eastAsia="仿宋_GB2312" w:hAnsi="仿宋_GB2312" w:cs="仿宋_GB2312"/>
          <w:sz w:val="32"/>
          <w:szCs w:val="32"/>
        </w:rPr>
        <w:t>2022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《产品质量监督抽查抽样检验技术服务规范》。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（三）承检机构在抽样、复检程序中根据实际情况及检验程序的法定性与有效性予以补充。</w:t>
      </w:r>
    </w:p>
    <w:p w:rsidR="00EC53BA" w:rsidRDefault="00EC53BA" w:rsidP="00EC53B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三、抽样方案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（一）样品数量。每款产品抽取</w:t>
      </w:r>
      <w:r w:rsidRPr="008948DD">
        <w:rPr>
          <w:rFonts w:ascii="仿宋_GB2312" w:eastAsia="仿宋_GB2312" w:hAnsi="仿宋_GB2312" w:cs="仿宋_GB2312"/>
          <w:sz w:val="32"/>
          <w:szCs w:val="32"/>
        </w:rPr>
        <w:t>2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组样本，第</w:t>
      </w:r>
      <w:r w:rsidRPr="008948DD">
        <w:rPr>
          <w:rFonts w:ascii="仿宋_GB2312" w:eastAsia="仿宋_GB2312" w:hAnsi="仿宋_GB2312" w:cs="仿宋_GB2312"/>
          <w:sz w:val="32"/>
          <w:szCs w:val="32"/>
        </w:rPr>
        <w:t>1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组用于检验，第</w:t>
      </w:r>
      <w:r w:rsidRPr="008948DD">
        <w:rPr>
          <w:rFonts w:ascii="仿宋_GB2312" w:eastAsia="仿宋_GB2312" w:hAnsi="仿宋_GB2312" w:cs="仿宋_GB2312"/>
          <w:sz w:val="32"/>
          <w:szCs w:val="32"/>
        </w:rPr>
        <w:t>2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组用于备用。每组样品需抽取样品数量如下表所示：</w:t>
      </w:r>
    </w:p>
    <w:tbl>
      <w:tblPr>
        <w:tblW w:w="0" w:type="auto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3756"/>
        <w:gridCol w:w="2079"/>
        <w:gridCol w:w="2115"/>
      </w:tblGrid>
      <w:tr w:rsidR="00EC53BA" w:rsidTr="004B3D9F">
        <w:trPr>
          <w:cantSplit/>
          <w:trHeight w:val="50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 w:cs="黑体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cs="黑体" w:hint="eastAsia"/>
                <w:b/>
                <w:szCs w:val="21"/>
              </w:rPr>
              <w:t>序号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 w:cs="黑体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cs="黑体" w:hint="eastAsia"/>
                <w:b/>
                <w:szCs w:val="21"/>
              </w:rPr>
              <w:t>明示的产品标准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 w:cs="黑体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cs="黑体" w:hint="eastAsia"/>
                <w:b/>
                <w:szCs w:val="21"/>
              </w:rPr>
              <w:t>第1组数量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4B3D9F">
            <w:pPr>
              <w:spacing w:line="400" w:lineRule="exact"/>
              <w:jc w:val="center"/>
              <w:rPr>
                <w:rFonts w:asciiTheme="majorEastAsia" w:eastAsiaTheme="majorEastAsia" w:hAnsiTheme="majorEastAsia" w:cs="黑体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cs="黑体" w:hint="eastAsia"/>
                <w:b/>
                <w:szCs w:val="21"/>
              </w:rPr>
              <w:t>第2组数量</w:t>
            </w:r>
          </w:p>
        </w:tc>
      </w:tr>
      <w:tr w:rsidR="00EC53BA" w:rsidTr="00356EC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HG/T 3084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-2010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10双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5双</w:t>
            </w:r>
          </w:p>
        </w:tc>
      </w:tr>
      <w:tr w:rsidR="00EC53BA" w:rsidTr="00356EC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HG/T 3085-2011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12双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4双</w:t>
            </w:r>
          </w:p>
        </w:tc>
      </w:tr>
      <w:tr w:rsidR="00EC53BA" w:rsidTr="00356EC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HG/T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3086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-2011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12双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4双</w:t>
            </w:r>
          </w:p>
        </w:tc>
      </w:tr>
      <w:tr w:rsidR="00EC53BA" w:rsidTr="00356EC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QB/T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2977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-2008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12双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4双</w:t>
            </w:r>
          </w:p>
        </w:tc>
      </w:tr>
      <w:tr w:rsidR="00EC53BA" w:rsidTr="00356EC5">
        <w:trPr>
          <w:cantSplit/>
        </w:trPr>
        <w:tc>
          <w:tcPr>
            <w:tcW w:w="8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adjustRightInd w:val="0"/>
              <w:snapToGrid w:val="0"/>
              <w:spacing w:line="400" w:lineRule="exact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注：其他明示标准为适用的团体标准、企业标准时，以标准实际要求为准。</w:t>
            </w:r>
          </w:p>
        </w:tc>
      </w:tr>
    </w:tbl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（二）抽样方法。确定抽样名单、选择被抽样对象时，应符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合</w:t>
      </w:r>
      <w:r w:rsidRPr="008948DD">
        <w:rPr>
          <w:rFonts w:ascii="仿宋_GB2312" w:eastAsia="仿宋_GB2312" w:hAnsi="仿宋_GB2312" w:cs="仿宋_GB2312"/>
          <w:sz w:val="32"/>
          <w:szCs w:val="32"/>
        </w:rPr>
        <w:t>T/GDAQI 020-</w:t>
      </w:r>
      <w:r w:rsidR="00BF3FEB" w:rsidRPr="008948DD">
        <w:rPr>
          <w:rFonts w:ascii="仿宋_GB2312" w:eastAsia="仿宋_GB2312" w:hAnsi="仿宋_GB2312" w:cs="仿宋_GB2312"/>
          <w:sz w:val="32"/>
          <w:szCs w:val="32"/>
        </w:rPr>
        <w:t>2022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《产品质量监督抽查抽样检验技术服务规范》</w:t>
      </w:r>
      <w:r w:rsidRPr="008948DD">
        <w:rPr>
          <w:rFonts w:ascii="仿宋_GB2312" w:eastAsia="仿宋_GB2312" w:hAnsi="仿宋_GB2312" w:cs="仿宋_GB2312"/>
          <w:sz w:val="32"/>
          <w:szCs w:val="32"/>
        </w:rPr>
        <w:t>5.3.3.3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和第</w:t>
      </w:r>
      <w:r w:rsidRPr="008948DD">
        <w:rPr>
          <w:rFonts w:ascii="仿宋_GB2312" w:eastAsia="仿宋_GB2312" w:hAnsi="仿宋_GB2312" w:cs="仿宋_GB2312"/>
          <w:sz w:val="32"/>
          <w:szCs w:val="32"/>
        </w:rPr>
        <w:t>6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章抽样的相关要求。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抽取的样品连同其原包装和使用说明加封条封样，检验样品和备用样品应分别封样。备用样品可由被抽样者先行无偿提供，封存在检验机构，待异议需要复检时再行购买。包装方式应能防止样品在运送途中被损坏或污染。封样方式应能防止未经授权的拆封。封样单上应有抽查企业和抽样人员的签名，注明抽样日期，并确认封样单牢固。封样单的材质、格式（横式或竖式）、尺寸大小可根据抽样需要确定。</w:t>
      </w:r>
    </w:p>
    <w:p w:rsidR="00EC53BA" w:rsidRDefault="00EC53BA" w:rsidP="00EC53B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四、检验依据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（一）产品标准。</w:t>
      </w:r>
    </w:p>
    <w:p w:rsidR="00EC53BA" w:rsidRPr="008948DD" w:rsidRDefault="00EC53BA" w:rsidP="008948D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HG/T 3084-2010  注塑鞋</w:t>
      </w:r>
    </w:p>
    <w:p w:rsidR="00EC53BA" w:rsidRPr="008948DD" w:rsidRDefault="00EC53BA" w:rsidP="008948D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HG/T 3085-2011 橡胶冷粘鞋</w:t>
      </w:r>
    </w:p>
    <w:p w:rsidR="00EC53BA" w:rsidRPr="008948DD" w:rsidRDefault="00EC53BA" w:rsidP="008948D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HG/T 3086-2011  橡塑凉、拖鞋</w:t>
      </w:r>
    </w:p>
    <w:p w:rsidR="00EC53BA" w:rsidRPr="008948DD" w:rsidRDefault="00EC53BA" w:rsidP="008948D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QB/T 2977-2008 乙烯-醋酸乙烯酯共聚物(EVA)拖鞋和凉鞋</w:t>
      </w:r>
      <w:r w:rsidRPr="008948DD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EC53BA" w:rsidRPr="008948DD" w:rsidRDefault="00EC53BA" w:rsidP="008948D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现行有效的团体标准、企业标准及产品明示质量要求。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二）涉及本类产品质量判定相关法律法规、国家有关规定。主要包括《中华人民共和国产品质量法》《中华人民共和国消费者权益保护法》《产品质量监督抽查管理暂行办法》《广东省查处生产销售假冒伪劣产品违法行为条例》等法律法规规章及《广东省市场监督管理局产品质量监督抽查工作指导意见（试行）》（粤市监质监〔</w:t>
      </w:r>
      <w:r w:rsidRPr="008948DD">
        <w:rPr>
          <w:rFonts w:ascii="仿宋_GB2312" w:eastAsia="仿宋_GB2312" w:hAnsi="仿宋_GB2312" w:cs="仿宋_GB2312"/>
          <w:sz w:val="32"/>
          <w:szCs w:val="32"/>
        </w:rPr>
        <w:t>2019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〕</w:t>
      </w:r>
      <w:r w:rsidRPr="008948DD">
        <w:rPr>
          <w:rFonts w:ascii="仿宋_GB2312" w:eastAsia="仿宋_GB2312" w:hAnsi="仿宋_GB2312" w:cs="仿宋_GB2312"/>
          <w:sz w:val="32"/>
          <w:szCs w:val="32"/>
        </w:rPr>
        <w:t>494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号）。</w:t>
      </w:r>
    </w:p>
    <w:p w:rsidR="00EC53BA" w:rsidRDefault="00EC53BA" w:rsidP="00EC53BA">
      <w:pPr>
        <w:spacing w:line="52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五、主要检验项目及不合格类别的划分指标</w:t>
      </w:r>
    </w:p>
    <w:p w:rsidR="00EC53BA" w:rsidRPr="008948DD" w:rsidRDefault="00EC53BA" w:rsidP="00EC53BA">
      <w:pPr>
        <w:autoSpaceDE w:val="0"/>
        <w:autoSpaceDN w:val="0"/>
        <w:adjustRightInd w:val="0"/>
        <w:spacing w:line="324" w:lineRule="auto"/>
        <w:ind w:leftChars="200" w:left="4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一）明示产品标准为HG/T 3084-2010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"/>
        <w:gridCol w:w="2462"/>
        <w:gridCol w:w="2701"/>
        <w:gridCol w:w="601"/>
        <w:gridCol w:w="601"/>
        <w:gridCol w:w="601"/>
        <w:gridCol w:w="601"/>
        <w:gridCol w:w="601"/>
      </w:tblGrid>
      <w:tr w:rsidR="00EC53BA" w:rsidTr="00356EC5">
        <w:trPr>
          <w:cantSplit/>
          <w:trHeight w:val="6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lastRenderedPageBreak/>
              <w:t>序号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检验项目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依据法律法规或标准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非强制性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较重要指标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次要指标</w:t>
            </w: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耐割口增长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adjustRightInd w:val="0"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HG/T308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-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2010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加热减量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耐黄变性能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tabs>
                <w:tab w:val="left" w:pos="492"/>
              </w:tabs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成鞋耐折性能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tabs>
                <w:tab w:val="left" w:pos="492"/>
              </w:tabs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外观质量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C53BA" w:rsidRPr="008948DD" w:rsidRDefault="00EC53BA" w:rsidP="00EC53BA">
      <w:pPr>
        <w:autoSpaceDE w:val="0"/>
        <w:autoSpaceDN w:val="0"/>
        <w:adjustRightInd w:val="0"/>
        <w:spacing w:line="324" w:lineRule="auto"/>
        <w:ind w:leftChars="200" w:left="42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（二）明示产品标准为HG/T 3085-2011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"/>
        <w:gridCol w:w="2462"/>
        <w:gridCol w:w="2701"/>
        <w:gridCol w:w="601"/>
        <w:gridCol w:w="601"/>
        <w:gridCol w:w="601"/>
        <w:gridCol w:w="601"/>
        <w:gridCol w:w="601"/>
      </w:tblGrid>
      <w:tr w:rsidR="00EC53BA" w:rsidTr="00356EC5">
        <w:trPr>
          <w:cantSplit/>
          <w:trHeight w:val="6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序号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检验项目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依据法律法规或标准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非强制性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较重要指标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次要指标</w:t>
            </w: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拉伸强度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adjustRightInd w:val="0"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HG/T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308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5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-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201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扯断伸出率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硬度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密度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磨耗量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压缩变形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视密度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帮底粘合强度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整鞋屈挠性能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耐黄变性能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外底防滑性能（静态摩擦系数）干法、湿法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外观质量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C53BA" w:rsidRPr="008948DD" w:rsidRDefault="00EC53BA" w:rsidP="00EC53BA">
      <w:pPr>
        <w:autoSpaceDE w:val="0"/>
        <w:autoSpaceDN w:val="0"/>
        <w:adjustRightInd w:val="0"/>
        <w:spacing w:line="324" w:lineRule="auto"/>
        <w:ind w:leftChars="200" w:left="42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（三）明示产品标准为HG/T 3086-2011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"/>
        <w:gridCol w:w="1231"/>
        <w:gridCol w:w="1231"/>
        <w:gridCol w:w="2701"/>
        <w:gridCol w:w="601"/>
        <w:gridCol w:w="601"/>
        <w:gridCol w:w="601"/>
        <w:gridCol w:w="601"/>
        <w:gridCol w:w="601"/>
      </w:tblGrid>
      <w:tr w:rsidR="00EC53BA" w:rsidTr="00356EC5">
        <w:trPr>
          <w:cantSplit/>
          <w:trHeight w:val="6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序号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检验项目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依据法律法规或标准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非强制性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较重要指标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次要指标</w:t>
            </w: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拉伸强度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HG/T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308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-</w:t>
            </w:r>
            <w:r w:rsidRPr="008948DD">
              <w:rPr>
                <w:rFonts w:asciiTheme="majorEastAsia" w:eastAsiaTheme="majorEastAsia" w:hAnsiTheme="majorEastAsia" w:hint="eastAsia"/>
                <w:szCs w:val="21"/>
              </w:rPr>
              <w:t>201</w:t>
            </w:r>
            <w:r w:rsidRPr="008948DD">
              <w:rPr>
                <w:rFonts w:asciiTheme="majorEastAsia" w:eastAsiaTheme="majorEastAsia" w:hAnsiTheme="majorEastAsia"/>
                <w:szCs w:val="21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拉断伸长率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trHeight w:val="90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硬度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邵尔A型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阿斯卡C型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磨耗量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压缩变形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视密度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屈挠（4万次）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Default="00EC53BA" w:rsidP="00356EC5">
            <w:pPr>
              <w:spacing w:line="24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帮带拔出力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粘合强度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耐黄变性能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trHeight w:val="69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11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外底防滑性能</w:t>
            </w:r>
          </w:p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（静态摩擦系数）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干法程序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湿法程序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12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外观质量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8948D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C53BA" w:rsidRDefault="00EC53BA" w:rsidP="00EC53BA">
      <w:pPr>
        <w:pStyle w:val="Default"/>
        <w:rPr>
          <w:rFonts w:hAnsi="宋体" w:cs="Times New Roman"/>
          <w:color w:val="auto"/>
          <w:kern w:val="2"/>
          <w:sz w:val="21"/>
          <w:szCs w:val="21"/>
        </w:rPr>
      </w:pPr>
    </w:p>
    <w:p w:rsidR="00EC53BA" w:rsidRPr="008948DD" w:rsidRDefault="00EC53BA" w:rsidP="008948DD">
      <w:pPr>
        <w:autoSpaceDE w:val="0"/>
        <w:autoSpaceDN w:val="0"/>
        <w:adjustRightInd w:val="0"/>
        <w:spacing w:line="324" w:lineRule="auto"/>
        <w:ind w:leftChars="200" w:left="42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（四）明示产品标准为QB/T 2977-2008</w:t>
      </w:r>
    </w:p>
    <w:p w:rsidR="00EC53BA" w:rsidRDefault="00EC53BA" w:rsidP="00EC53BA">
      <w:pPr>
        <w:spacing w:line="312" w:lineRule="auto"/>
        <w:rPr>
          <w:rFonts w:ascii="宋体" w:hAnsi="宋体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"/>
        <w:gridCol w:w="2462"/>
        <w:gridCol w:w="2701"/>
        <w:gridCol w:w="601"/>
        <w:gridCol w:w="601"/>
        <w:gridCol w:w="601"/>
        <w:gridCol w:w="601"/>
        <w:gridCol w:w="601"/>
      </w:tblGrid>
      <w:tr w:rsidR="00EC53BA" w:rsidTr="00356EC5">
        <w:trPr>
          <w:cantSplit/>
          <w:trHeight w:val="6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序号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检验项目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依据法律法规或标准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非强制性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较重要指标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b/>
                <w:szCs w:val="21"/>
              </w:rPr>
              <w:t>次要指标</w:t>
            </w: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/>
                <w:color w:val="auto"/>
                <w:kern w:val="2"/>
                <w:sz w:val="21"/>
                <w:szCs w:val="21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外观质量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adjustRightInd w:val="0"/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QB/T 2977-2008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a6"/>
              <w:snapToGrid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 w:val="21"/>
                <w:szCs w:val="21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鞋底拉伸强度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/>
                <w:color w:val="auto"/>
                <w:kern w:val="2"/>
                <w:sz w:val="21"/>
                <w:szCs w:val="21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粘合强度（胶粘剂粘接拖、凉鞋）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/>
                <w:color w:val="auto"/>
                <w:kern w:val="2"/>
                <w:sz w:val="21"/>
                <w:szCs w:val="21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帮带拔出力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 w:hint="eastAsia"/>
                <w:color w:val="auto"/>
                <w:kern w:val="2"/>
                <w:sz w:val="21"/>
                <w:szCs w:val="21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耐曲折性能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 w:hint="eastAsia"/>
                <w:color w:val="auto"/>
                <w:kern w:val="2"/>
                <w:sz w:val="21"/>
                <w:szCs w:val="21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耐黄变等级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C53BA" w:rsidTr="00356EC5">
        <w:trPr>
          <w:cantSplit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pStyle w:val="Default"/>
              <w:spacing w:line="312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48DD">
              <w:rPr>
                <w:rFonts w:asciiTheme="majorEastAsia" w:eastAsiaTheme="majorEastAsia" w:hAnsiTheme="majorEastAsia" w:cs="Times New Roman" w:hint="eastAsia"/>
                <w:color w:val="auto"/>
                <w:kern w:val="2"/>
                <w:sz w:val="21"/>
                <w:szCs w:val="21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312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 w:hint="eastAsia"/>
                <w:szCs w:val="21"/>
              </w:rPr>
              <w:t>硬度（邵尔W）</w:t>
            </w:r>
          </w:p>
        </w:tc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948DD">
              <w:rPr>
                <w:rFonts w:asciiTheme="majorEastAsia" w:eastAsiaTheme="majorEastAsia" w:hAnsiTheme="majorEastAsia"/>
                <w:szCs w:val="21"/>
              </w:rPr>
              <w:t>●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BA" w:rsidRPr="008948DD" w:rsidRDefault="00EC53BA" w:rsidP="00356EC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 xml:space="preserve">  六、本细则未明确的监督抽查抽样检验相关技术规范，均按照《产品质量监督抽查管理暂行办法》（国家市场监督管理总局令第</w:t>
      </w:r>
      <w:r w:rsidRPr="008948DD">
        <w:rPr>
          <w:rFonts w:ascii="仿宋_GB2312" w:eastAsia="仿宋_GB2312" w:hAnsi="仿宋_GB2312" w:cs="仿宋_GB2312"/>
          <w:sz w:val="32"/>
          <w:szCs w:val="32"/>
        </w:rPr>
        <w:t>18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号）、《产品质量监督抽查抽样检验技术服务规范》（</w:t>
      </w:r>
      <w:r w:rsidRPr="008948DD">
        <w:rPr>
          <w:rFonts w:ascii="仿宋_GB2312" w:eastAsia="仿宋_GB2312" w:hAnsi="仿宋_GB2312" w:cs="仿宋_GB2312"/>
          <w:sz w:val="32"/>
          <w:szCs w:val="32"/>
        </w:rPr>
        <w:t>T/GDAQI 020-</w:t>
      </w:r>
      <w:r w:rsidR="00BF3FEB" w:rsidRPr="008948DD">
        <w:rPr>
          <w:rFonts w:ascii="仿宋_GB2312" w:eastAsia="仿宋_GB2312" w:hAnsi="仿宋_GB2312" w:cs="仿宋_GB2312"/>
          <w:sz w:val="32"/>
          <w:szCs w:val="32"/>
        </w:rPr>
        <w:t>2022</w:t>
      </w:r>
      <w:r w:rsidRPr="008948DD">
        <w:rPr>
          <w:rFonts w:ascii="仿宋_GB2312" w:eastAsia="仿宋_GB2312" w:hAnsi="仿宋_GB2312" w:cs="仿宋_GB2312" w:hint="eastAsia"/>
          <w:sz w:val="32"/>
          <w:szCs w:val="32"/>
        </w:rPr>
        <w:t>）规定执行。</w:t>
      </w:r>
    </w:p>
    <w:p w:rsidR="00EC53BA" w:rsidRPr="008948DD" w:rsidRDefault="00EC53BA" w:rsidP="00EC53B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如抽到的产品未标注有效执行标准、无法获得有效的标准文本、或采用的标准文本无本细则规定的检测项目，则按HG/T 3084-2010/HG/T 3085-2011/HG/T 3086-2011/QB/T2977-2008进行检测。</w:t>
      </w:r>
    </w:p>
    <w:p w:rsidR="00FB5BB3" w:rsidRPr="008948DD" w:rsidRDefault="00EC53BA" w:rsidP="0085332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948DD">
        <w:rPr>
          <w:rFonts w:ascii="仿宋_GB2312" w:eastAsia="仿宋_GB2312" w:hAnsi="仿宋_GB2312" w:cs="仿宋_GB2312" w:hint="eastAsia"/>
          <w:sz w:val="32"/>
          <w:szCs w:val="32"/>
        </w:rPr>
        <w:t>被抽样生产者、销售者对检验结论有异议的，应提出书面复检申请并阐明理由，向潮州市市场监督管理局提出，由潮州市市场监督管理局依法依规处理。</w:t>
      </w:r>
    </w:p>
    <w:sectPr w:rsidR="00FB5BB3" w:rsidRPr="008948DD" w:rsidSect="00EC3A90">
      <w:headerReference w:type="default" r:id="rId9"/>
      <w:footerReference w:type="even" r:id="rId10"/>
      <w:pgSz w:w="11906" w:h="16838"/>
      <w:pgMar w:top="1134" w:right="1418" w:bottom="1134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5A2" w:rsidRDefault="004F45A2" w:rsidP="00FB5BB3">
      <w:r>
        <w:separator/>
      </w:r>
    </w:p>
  </w:endnote>
  <w:endnote w:type="continuationSeparator" w:id="1">
    <w:p w:rsidR="004F45A2" w:rsidRDefault="004F45A2" w:rsidP="00FB5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BB3" w:rsidRDefault="00EE064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0516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5167">
      <w:rPr>
        <w:rStyle w:val="a8"/>
      </w:rPr>
      <w:t>18</w:t>
    </w:r>
    <w:r>
      <w:rPr>
        <w:rStyle w:val="a8"/>
      </w:rPr>
      <w:fldChar w:fldCharType="end"/>
    </w:r>
  </w:p>
  <w:p w:rsidR="00FB5BB3" w:rsidRDefault="00FB5B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5A2" w:rsidRDefault="004F45A2" w:rsidP="00FB5BB3">
      <w:r>
        <w:separator/>
      </w:r>
    </w:p>
  </w:footnote>
  <w:footnote w:type="continuationSeparator" w:id="1">
    <w:p w:rsidR="004F45A2" w:rsidRDefault="004F45A2" w:rsidP="00FB5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BB3" w:rsidRDefault="00FB5BB3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ADA"/>
    <w:rsid w:val="00087D6B"/>
    <w:rsid w:val="000B4ED1"/>
    <w:rsid w:val="000F5E99"/>
    <w:rsid w:val="0011293D"/>
    <w:rsid w:val="0018234B"/>
    <w:rsid w:val="001A17BF"/>
    <w:rsid w:val="001B1193"/>
    <w:rsid w:val="001E1C9D"/>
    <w:rsid w:val="00270064"/>
    <w:rsid w:val="002B4ACB"/>
    <w:rsid w:val="002E2817"/>
    <w:rsid w:val="00400360"/>
    <w:rsid w:val="00444B65"/>
    <w:rsid w:val="00451A40"/>
    <w:rsid w:val="00452774"/>
    <w:rsid w:val="004B3D9F"/>
    <w:rsid w:val="004C67AC"/>
    <w:rsid w:val="004F0346"/>
    <w:rsid w:val="004F45A2"/>
    <w:rsid w:val="00555DB9"/>
    <w:rsid w:val="00590C7D"/>
    <w:rsid w:val="005B7D4A"/>
    <w:rsid w:val="005C4D64"/>
    <w:rsid w:val="005D2F59"/>
    <w:rsid w:val="005E44A5"/>
    <w:rsid w:val="006151B3"/>
    <w:rsid w:val="006D0070"/>
    <w:rsid w:val="006D26A2"/>
    <w:rsid w:val="00725764"/>
    <w:rsid w:val="007A36AE"/>
    <w:rsid w:val="00805167"/>
    <w:rsid w:val="008100DC"/>
    <w:rsid w:val="00853324"/>
    <w:rsid w:val="008948DD"/>
    <w:rsid w:val="008D5260"/>
    <w:rsid w:val="00937627"/>
    <w:rsid w:val="00943485"/>
    <w:rsid w:val="00A05732"/>
    <w:rsid w:val="00A22B84"/>
    <w:rsid w:val="00A74C82"/>
    <w:rsid w:val="00AB2694"/>
    <w:rsid w:val="00AD4ADA"/>
    <w:rsid w:val="00AD797B"/>
    <w:rsid w:val="00AF27AE"/>
    <w:rsid w:val="00B03F06"/>
    <w:rsid w:val="00B33AA4"/>
    <w:rsid w:val="00B764ED"/>
    <w:rsid w:val="00B8419F"/>
    <w:rsid w:val="00BC61DD"/>
    <w:rsid w:val="00BE1E9E"/>
    <w:rsid w:val="00BF3FEB"/>
    <w:rsid w:val="00C31606"/>
    <w:rsid w:val="00C4151E"/>
    <w:rsid w:val="00C46DFC"/>
    <w:rsid w:val="00CE3FC1"/>
    <w:rsid w:val="00CF220B"/>
    <w:rsid w:val="00DB19B0"/>
    <w:rsid w:val="00DC1FA9"/>
    <w:rsid w:val="00DC29A6"/>
    <w:rsid w:val="00DD1A84"/>
    <w:rsid w:val="00E97AA3"/>
    <w:rsid w:val="00EC13FD"/>
    <w:rsid w:val="00EC3A90"/>
    <w:rsid w:val="00EC53BA"/>
    <w:rsid w:val="00EE0647"/>
    <w:rsid w:val="00F30761"/>
    <w:rsid w:val="00F841D0"/>
    <w:rsid w:val="00FA0842"/>
    <w:rsid w:val="00FB5BB3"/>
    <w:rsid w:val="00FF1262"/>
    <w:rsid w:val="00FF49C4"/>
    <w:rsid w:val="00FF6378"/>
    <w:rsid w:val="4F90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FB5B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B5BB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B5BB3"/>
    <w:rPr>
      <w:rFonts w:ascii="宋体" w:eastAsiaTheme="minorEastAsia" w:hAnsi="Courier New" w:cs="Courier New"/>
      <w:szCs w:val="21"/>
    </w:rPr>
  </w:style>
  <w:style w:type="paragraph" w:styleId="a4">
    <w:name w:val="footer"/>
    <w:basedOn w:val="a"/>
    <w:link w:val="Char0"/>
    <w:unhideWhenUsed/>
    <w:rsid w:val="00FB5B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nhideWhenUsed/>
    <w:rsid w:val="00FB5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footnote text"/>
    <w:basedOn w:val="a"/>
    <w:link w:val="Char2"/>
    <w:rsid w:val="00FB5BB3"/>
    <w:pPr>
      <w:snapToGrid w:val="0"/>
      <w:jc w:val="left"/>
    </w:pPr>
    <w:rPr>
      <w:sz w:val="18"/>
      <w:szCs w:val="18"/>
    </w:rPr>
  </w:style>
  <w:style w:type="table" w:styleId="a7">
    <w:name w:val="Table Grid"/>
    <w:basedOn w:val="a1"/>
    <w:rsid w:val="00FB5BB3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FB5BB3"/>
  </w:style>
  <w:style w:type="character" w:customStyle="1" w:styleId="Char1">
    <w:name w:val="页眉 Char"/>
    <w:basedOn w:val="a0"/>
    <w:link w:val="a5"/>
    <w:uiPriority w:val="99"/>
    <w:semiHidden/>
    <w:rsid w:val="00FB5BB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5BB3"/>
    <w:rPr>
      <w:sz w:val="18"/>
      <w:szCs w:val="18"/>
    </w:rPr>
  </w:style>
  <w:style w:type="character" w:customStyle="1" w:styleId="Char2">
    <w:name w:val="脚注文本 Char"/>
    <w:basedOn w:val="a0"/>
    <w:link w:val="a6"/>
    <w:rsid w:val="00FB5BB3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FB5BB3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纯文本 Char"/>
    <w:basedOn w:val="a0"/>
    <w:link w:val="a3"/>
    <w:rsid w:val="00FB5BB3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uiPriority w:val="99"/>
    <w:semiHidden/>
    <w:rsid w:val="00FB5BB3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"/>
    <w:rsid w:val="00FB5BB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B824C8-F85E-4215-9DBC-155A77D8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</Words>
  <Characters>2033</Characters>
  <Application>Microsoft Office Word</Application>
  <DocSecurity>0</DocSecurity>
  <Lines>16</Lines>
  <Paragraphs>4</Paragraphs>
  <ScaleCrop>false</ScaleCrop>
  <Company>china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 Division</cp:lastModifiedBy>
  <cp:revision>2</cp:revision>
  <dcterms:created xsi:type="dcterms:W3CDTF">2022-05-30T07:31:00Z</dcterms:created>
  <dcterms:modified xsi:type="dcterms:W3CDTF">2022-05-30T07:31:00Z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