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90" w:lineRule="exact"/>
        <w:jc w:val="left"/>
        <w:rPr>
          <w:rFonts w:hint="eastAsia" w:ascii="方正黑体_GBK" w:eastAsia="方正黑体_GBK" w:cs="仿宋_GB2312"/>
          <w:sz w:val="32"/>
          <w:szCs w:val="32"/>
          <w:shd w:val="clear" w:color="auto" w:fill="FFFFFF"/>
          <w:lang w:val="en-US" w:eastAsia="zh-CN"/>
        </w:rPr>
      </w:pPr>
    </w:p>
    <w:p>
      <w:pPr>
        <w:widowControl/>
        <w:shd w:val="clear" w:color="auto" w:fill="FFFFFF"/>
        <w:spacing w:line="590" w:lineRule="exact"/>
        <w:jc w:val="center"/>
        <w:rPr>
          <w:rFonts w:hint="eastAsia" w:eastAsia="方正小标宋_GBK" w:cs="宋体"/>
          <w:kern w:val="0"/>
          <w:sz w:val="44"/>
          <w:szCs w:val="44"/>
        </w:rPr>
      </w:pPr>
    </w:p>
    <w:p>
      <w:pPr>
        <w:widowControl/>
        <w:shd w:val="clear" w:color="auto" w:fill="FFFFFF"/>
        <w:spacing w:line="590" w:lineRule="exact"/>
        <w:jc w:val="center"/>
        <w:rPr>
          <w:rFonts w:cs="宋体"/>
          <w:kern w:val="0"/>
          <w:sz w:val="24"/>
        </w:rPr>
      </w:pPr>
      <w:r>
        <w:rPr>
          <w:rFonts w:hint="eastAsia" w:eastAsia="方正小标宋_GBK" w:cs="宋体"/>
          <w:kern w:val="0"/>
          <w:sz w:val="44"/>
          <w:szCs w:val="44"/>
        </w:rPr>
        <w:t>潮州市政务服务</w:t>
      </w:r>
      <w:r>
        <w:rPr>
          <w:rFonts w:hint="eastAsia" w:eastAsia="方正小标宋_GBK" w:cs="宋体"/>
          <w:kern w:val="0"/>
          <w:sz w:val="44"/>
          <w:szCs w:val="44"/>
          <w:lang w:eastAsia="zh-CN"/>
        </w:rPr>
        <w:t>“</w:t>
      </w:r>
      <w:r>
        <w:rPr>
          <w:rFonts w:hint="eastAsia" w:eastAsia="方正小标宋_GBK" w:cs="宋体"/>
          <w:kern w:val="0"/>
          <w:sz w:val="44"/>
          <w:szCs w:val="44"/>
        </w:rPr>
        <w:t>容缺受理</w:t>
      </w:r>
      <w:r>
        <w:rPr>
          <w:rFonts w:hint="eastAsia" w:eastAsia="方正小标宋_GBK" w:cs="宋体"/>
          <w:kern w:val="0"/>
          <w:sz w:val="44"/>
          <w:szCs w:val="44"/>
          <w:lang w:eastAsia="zh-CN"/>
        </w:rPr>
        <w:t>”</w:t>
      </w:r>
      <w:r>
        <w:rPr>
          <w:rFonts w:hint="eastAsia" w:eastAsia="方正小标宋_GBK" w:cs="宋体"/>
          <w:kern w:val="0"/>
          <w:sz w:val="44"/>
          <w:szCs w:val="44"/>
        </w:rPr>
        <w:t>事项清单</w:t>
      </w:r>
      <w:r>
        <w:rPr>
          <w:rFonts w:cs="宋体"/>
          <w:kern w:val="0"/>
          <w:sz w:val="24"/>
        </w:rPr>
        <w:t> </w:t>
      </w:r>
    </w:p>
    <w:p>
      <w:pPr>
        <w:widowControl/>
        <w:shd w:val="clear" w:color="auto" w:fill="FFFFFF"/>
        <w:spacing w:line="590" w:lineRule="exact"/>
        <w:jc w:val="both"/>
        <w:rPr>
          <w:rFonts w:cs="宋体"/>
          <w:kern w:val="0"/>
          <w:sz w:val="24"/>
        </w:rPr>
      </w:pPr>
    </w:p>
    <w:p>
      <w:pPr>
        <w:widowControl/>
        <w:shd w:val="clear" w:color="auto" w:fill="FFFFFF"/>
        <w:spacing w:line="590" w:lineRule="exact"/>
        <w:jc w:val="center"/>
        <w:rPr>
          <w:rFonts w:cs="宋体"/>
          <w:kern w:val="0"/>
          <w:sz w:val="24"/>
        </w:rPr>
      </w:pPr>
    </w:p>
    <w:tbl>
      <w:tblPr>
        <w:tblStyle w:val="3"/>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7"/>
        <w:gridCol w:w="2411"/>
        <w:gridCol w:w="1495"/>
        <w:gridCol w:w="4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52" w:hRule="atLeast"/>
          <w:jc w:val="center"/>
        </w:trPr>
        <w:tc>
          <w:tcPr>
            <w:tcW w:w="827" w:type="dxa"/>
            <w:shd w:val="clear" w:color="auto" w:fill="auto"/>
            <w:tcMar>
              <w:top w:w="0" w:type="dxa"/>
              <w:left w:w="105" w:type="dxa"/>
              <w:bottom w:w="0" w:type="dxa"/>
              <w:right w:w="105" w:type="dxa"/>
            </w:tcMar>
            <w:vAlign w:val="center"/>
          </w:tcPr>
          <w:p>
            <w:pPr>
              <w:widowControl/>
              <w:spacing w:line="400" w:lineRule="exact"/>
              <w:jc w:val="both"/>
              <w:rPr>
                <w:rFonts w:hint="default" w:ascii="Times New Roman" w:hAnsi="Times New Roman" w:eastAsia="方正黑体_GBK" w:cs="Times New Roman"/>
                <w:snapToGrid w:val="0"/>
              </w:rPr>
            </w:pPr>
            <w:r>
              <w:rPr>
                <w:rFonts w:hint="default" w:ascii="Times New Roman" w:hAnsi="Times New Roman" w:eastAsia="方正黑体_GBK" w:cs="Times New Roman"/>
                <w:snapToGrid w:val="0"/>
              </w:rPr>
              <w:t>序号</w:t>
            </w:r>
          </w:p>
        </w:tc>
        <w:tc>
          <w:tcPr>
            <w:tcW w:w="2411" w:type="dxa"/>
            <w:shd w:val="clear" w:color="auto" w:fill="auto"/>
            <w:tcMar>
              <w:top w:w="0" w:type="dxa"/>
              <w:left w:w="105" w:type="dxa"/>
              <w:bottom w:w="0" w:type="dxa"/>
              <w:right w:w="105" w:type="dxa"/>
            </w:tcMar>
            <w:vAlign w:val="center"/>
          </w:tcPr>
          <w:p>
            <w:pPr>
              <w:widowControl/>
              <w:spacing w:line="400" w:lineRule="exact"/>
              <w:jc w:val="center"/>
              <w:rPr>
                <w:rFonts w:hint="default" w:ascii="Times New Roman" w:hAnsi="Times New Roman" w:eastAsia="方正黑体_GBK" w:cs="Times New Roman"/>
                <w:snapToGrid w:val="0"/>
                <w:lang w:val="en-US" w:eastAsia="zh-CN"/>
              </w:rPr>
            </w:pPr>
            <w:r>
              <w:rPr>
                <w:rFonts w:hint="default" w:ascii="Times New Roman" w:hAnsi="Times New Roman" w:eastAsia="方正黑体_GBK" w:cs="Times New Roman"/>
                <w:snapToGrid w:val="0"/>
                <w:lang w:val="en-US" w:eastAsia="zh-CN"/>
              </w:rPr>
              <w:t>审批单位</w:t>
            </w:r>
          </w:p>
        </w:tc>
        <w:tc>
          <w:tcPr>
            <w:tcW w:w="1495" w:type="dxa"/>
            <w:shd w:val="clear" w:color="auto" w:fill="auto"/>
            <w:vAlign w:val="center"/>
          </w:tcPr>
          <w:p>
            <w:pPr>
              <w:widowControl/>
              <w:spacing w:line="400" w:lineRule="exact"/>
              <w:jc w:val="center"/>
              <w:rPr>
                <w:rFonts w:hint="default" w:ascii="Times New Roman" w:hAnsi="Times New Roman" w:eastAsia="方正黑体_GBK" w:cs="Times New Roman"/>
                <w:snapToGrid w:val="0"/>
                <w:lang w:eastAsia="zh-CN"/>
              </w:rPr>
            </w:pPr>
            <w:r>
              <w:rPr>
                <w:rFonts w:hint="default" w:ascii="Times New Roman" w:hAnsi="Times New Roman" w:eastAsia="方正黑体_GBK" w:cs="Times New Roman"/>
                <w:snapToGrid w:val="0"/>
                <w:lang w:eastAsia="zh-CN"/>
              </w:rPr>
              <w:t>事项名称</w:t>
            </w:r>
          </w:p>
        </w:tc>
        <w:tc>
          <w:tcPr>
            <w:tcW w:w="4339" w:type="dxa"/>
            <w:shd w:val="clear" w:color="auto" w:fill="auto"/>
            <w:tcMar>
              <w:top w:w="0" w:type="dxa"/>
              <w:left w:w="105" w:type="dxa"/>
              <w:bottom w:w="0" w:type="dxa"/>
              <w:right w:w="105" w:type="dxa"/>
            </w:tcMar>
            <w:vAlign w:val="center"/>
          </w:tcPr>
          <w:p>
            <w:pPr>
              <w:widowControl/>
              <w:spacing w:line="400" w:lineRule="exact"/>
              <w:jc w:val="center"/>
              <w:rPr>
                <w:rFonts w:hint="default" w:ascii="Times New Roman" w:hAnsi="Times New Roman" w:eastAsia="方正黑体_GBK" w:cs="Times New Roman"/>
                <w:snapToGrid w:val="0"/>
              </w:rPr>
            </w:pPr>
            <w:r>
              <w:rPr>
                <w:rFonts w:hint="default" w:ascii="Times New Roman" w:hAnsi="Times New Roman" w:eastAsia="方正黑体_GBK" w:cs="Times New Roman"/>
                <w:snapToGrid w:val="0"/>
              </w:rPr>
              <w:t>可容缺受理材料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restart"/>
            <w:shd w:val="clear" w:color="auto" w:fill="auto"/>
            <w:tcMar>
              <w:top w:w="0" w:type="dxa"/>
              <w:left w:w="105" w:type="dxa"/>
              <w:bottom w:w="0" w:type="dxa"/>
              <w:right w:w="105" w:type="dxa"/>
            </w:tcMar>
            <w:vAlign w:val="center"/>
          </w:tcPr>
          <w:p>
            <w:pPr>
              <w:widowControl/>
              <w:shd w:val="clear" w:color="auto" w:fill="FFFFFF"/>
              <w:spacing w:line="590" w:lineRule="exact"/>
              <w:jc w:val="center"/>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1</w:t>
            </w:r>
          </w:p>
        </w:tc>
        <w:tc>
          <w:tcPr>
            <w:tcW w:w="2411" w:type="dxa"/>
            <w:vMerge w:val="restart"/>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潮州市司法局</w:t>
            </w:r>
          </w:p>
        </w:tc>
        <w:tc>
          <w:tcPr>
            <w:tcW w:w="1495" w:type="dxa"/>
            <w:vMerge w:val="restart"/>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司法鉴定机</w:t>
            </w:r>
          </w:p>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构分支机构设立登记</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司法鉴定机构章程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与申请开展的司法鉴定业务一致的行业资格、资质证明，检测实验室通过计量认证或认可的证书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住所证明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仪器、设备说明及所有权凭证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8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司法鉴定机构设立单位的法定代表人及司法鉴定机构负责人未受过刑事处罚或开除公职处分的证明材料或书面承诺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1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资金证明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0"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2</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潮州市司法局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 司法鉴定机构设立登记</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无犯罪承诺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5"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潮州市林业局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出售、收购国家二级保护野生植物审批</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证明申请人身份的有效文件或材料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潮州市林业局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采集国家二级保护野生植物审批</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证明申请人身份的有效文件或材料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潮州市林业局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建设工程永久占用林地审核</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林地权属证明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潮州市林业局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其他林木种子生产经营许可证核发</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 xml:space="preserve">居民身份证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潮州市林业局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采集或者采伐国家重点保护种质资源审批</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证明申请人身份的有效证件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潮州市林业局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收购珍贵树木种子或限制收购的林木种子审批</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证明申请人身份的有效证件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潮州市气象局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雷电防护装置设计审核</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雷电防护装置设计审核申请表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5" w:hRule="atLeast"/>
          <w:jc w:val="center"/>
        </w:trPr>
        <w:tc>
          <w:tcPr>
            <w:tcW w:w="827" w:type="dxa"/>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2411"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潮州市气象局</w:t>
            </w:r>
          </w:p>
        </w:tc>
        <w:tc>
          <w:tcPr>
            <w:tcW w:w="1495" w:type="dxa"/>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雷电防护装置竣工验收</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雷电防护装置竣工验收申请表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2" w:hRule="atLeast"/>
          <w:jc w:val="center"/>
        </w:trPr>
        <w:tc>
          <w:tcPr>
            <w:tcW w:w="827" w:type="dxa"/>
            <w:vMerge w:val="restart"/>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11</w:t>
            </w:r>
          </w:p>
        </w:tc>
        <w:tc>
          <w:tcPr>
            <w:tcW w:w="2411" w:type="dxa"/>
            <w:vMerge w:val="restart"/>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潮州市卫生健康局</w:t>
            </w:r>
          </w:p>
        </w:tc>
        <w:tc>
          <w:tcPr>
            <w:tcW w:w="1495" w:type="dxa"/>
            <w:vMerge w:val="restart"/>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公共场所卫生许可（新证、含新改、扩建</w:t>
            </w:r>
            <w:r>
              <w:rPr>
                <w:rFonts w:hint="eastAsia" w:ascii="仿宋" w:hAnsi="仿宋" w:eastAsia="仿宋" w:cs="仿宋"/>
                <w:kern w:val="0"/>
                <w:sz w:val="24"/>
                <w:szCs w:val="24"/>
                <w:lang w:val="en-US" w:eastAsia="zh-CN"/>
              </w:rPr>
              <w:t>-告知承诺制）</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从业人员健康合格证明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3" w:hRule="atLeast"/>
          <w:jc w:val="center"/>
        </w:trPr>
        <w:tc>
          <w:tcPr>
            <w:tcW w:w="827" w:type="dxa"/>
            <w:vMerge w:val="continue"/>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一年内的有效卫生检测报告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827" w:type="dxa"/>
            <w:vMerge w:val="restart"/>
            <w:shd w:val="clear" w:color="auto" w:fill="auto"/>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2411" w:type="dxa"/>
            <w:vMerge w:val="restart"/>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潮州市消防救援支队</w:t>
            </w:r>
          </w:p>
        </w:tc>
        <w:tc>
          <w:tcPr>
            <w:tcW w:w="1495" w:type="dxa"/>
            <w:vMerge w:val="restart"/>
            <w:shd w:val="clear" w:color="auto" w:fill="auto"/>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val="en-US" w:eastAsia="zh-CN"/>
              </w:rPr>
              <w:t>公众聚集场所投入使用、营业前消防安全检查（告知承诺件）</w:t>
            </w:r>
          </w:p>
        </w:tc>
        <w:tc>
          <w:tcPr>
            <w:tcW w:w="4339" w:type="dxa"/>
            <w:shd w:val="clear" w:color="auto" w:fill="auto"/>
            <w:tcMar>
              <w:top w:w="0" w:type="dxa"/>
              <w:left w:w="105" w:type="dxa"/>
              <w:bottom w:w="0" w:type="dxa"/>
              <w:right w:w="105" w:type="dxa"/>
            </w:tcMar>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消防安全制度、灭火和应急疏散预案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场所平面布置图、场所消防设施平面图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法律、行政法规规定的其他材料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2411"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潮州</w:t>
            </w:r>
            <w:r>
              <w:rPr>
                <w:rFonts w:hint="eastAsia" w:ascii="仿宋" w:hAnsi="仿宋" w:eastAsia="仿宋" w:cs="仿宋"/>
                <w:kern w:val="0"/>
                <w:sz w:val="24"/>
                <w:szCs w:val="24"/>
                <w:lang w:eastAsia="zh-CN"/>
              </w:rPr>
              <w:t>市应急管理局</w:t>
            </w:r>
          </w:p>
        </w:tc>
        <w:tc>
          <w:tcPr>
            <w:tcW w:w="1495"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非煤矿矿山企业安全生产许可证核发（延期）</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14</w:t>
            </w:r>
          </w:p>
        </w:tc>
        <w:tc>
          <w:tcPr>
            <w:tcW w:w="2411"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val="en-US" w:eastAsia="zh-CN"/>
              </w:rPr>
              <w:t>潮州</w:t>
            </w:r>
            <w:r>
              <w:rPr>
                <w:rFonts w:hint="eastAsia" w:ascii="仿宋" w:hAnsi="仿宋" w:eastAsia="仿宋" w:cs="仿宋"/>
                <w:kern w:val="0"/>
                <w:sz w:val="24"/>
                <w:szCs w:val="24"/>
                <w:lang w:eastAsia="zh-CN"/>
              </w:rPr>
              <w:t>市应急管理局</w:t>
            </w:r>
          </w:p>
        </w:tc>
        <w:tc>
          <w:tcPr>
            <w:tcW w:w="1495"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 </w:t>
            </w:r>
            <w:r>
              <w:rPr>
                <w:rFonts w:hint="eastAsia" w:ascii="仿宋" w:hAnsi="仿宋" w:eastAsia="仿宋" w:cs="仿宋"/>
                <w:kern w:val="0"/>
                <w:sz w:val="24"/>
                <w:szCs w:val="24"/>
                <w:lang w:eastAsia="zh-CN"/>
              </w:rPr>
              <w:t>危险化学品经营许可证核发（延期）</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default" w:ascii="仿宋" w:hAnsi="仿宋" w:eastAsia="仿宋" w:cs="仿宋"/>
                <w:kern w:val="0"/>
                <w:sz w:val="24"/>
                <w:szCs w:val="24"/>
                <w:lang w:eastAsia="zh-CN"/>
              </w:rPr>
              <w:t>购买自住住房贷款</w:t>
            </w:r>
            <w:r>
              <w:rPr>
                <w:rFonts w:hint="default" w:ascii="仿宋" w:hAnsi="仿宋" w:eastAsia="仿宋" w:cs="仿宋"/>
                <w:kern w:val="0"/>
                <w:sz w:val="24"/>
                <w:szCs w:val="24"/>
                <w:lang w:eastAsia="zh-CN"/>
              </w:rPr>
              <w:br w:type="textWrapping"/>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6"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16</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购买自住住房提取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17</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租房提取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18</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偿还购房贷款本息提取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19</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出境定居提取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大修自住住房提取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21</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翻建自住住房提取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22</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建造自住住房提取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23</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离休、退休提取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93"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24</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死亡提取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60"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85"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25</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潮州市住房公积金管理中心</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完全丧失劳动能力，并与单位终止劳动关系提取</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中华人民共和国结婚证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70" w:hRule="atLeast"/>
          <w:jc w:val="center"/>
        </w:trPr>
        <w:tc>
          <w:tcPr>
            <w:tcW w:w="827" w:type="dxa"/>
            <w:vMerge w:val="continue"/>
            <w:shd w:val="clear" w:color="auto" w:fill="FFFFFF"/>
            <w:vAlign w:val="center"/>
          </w:tcPr>
          <w:p>
            <w:pPr>
              <w:widowControl/>
              <w:shd w:val="clear" w:color="auto" w:fill="FFFFFF"/>
              <w:spacing w:line="590" w:lineRule="exact"/>
              <w:jc w:val="center"/>
            </w:pPr>
          </w:p>
        </w:tc>
        <w:tc>
          <w:tcPr>
            <w:tcW w:w="2411" w:type="dxa"/>
            <w:vMerge w:val="continue"/>
            <w:shd w:val="clear" w:color="auto" w:fill="FFFFFF"/>
            <w:vAlign w:val="center"/>
          </w:tcPr>
          <w:p>
            <w:pPr>
              <w:widowControl/>
              <w:shd w:val="clear" w:color="auto" w:fill="FFFFFF"/>
              <w:spacing w:line="590" w:lineRule="exact"/>
              <w:jc w:val="left"/>
            </w:pPr>
          </w:p>
        </w:tc>
        <w:tc>
          <w:tcPr>
            <w:tcW w:w="1495" w:type="dxa"/>
            <w:vMerge w:val="continue"/>
            <w:shd w:val="clear" w:color="auto" w:fill="FFFFFF"/>
            <w:vAlign w:val="center"/>
          </w:tcPr>
          <w:p>
            <w:pPr>
              <w:widowControl/>
              <w:shd w:val="clear" w:color="auto" w:fill="FFFFFF"/>
              <w:spacing w:line="590" w:lineRule="exact"/>
              <w:jc w:val="left"/>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居民身份证件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827" w:type="dxa"/>
            <w:vMerge w:val="continue"/>
            <w:shd w:val="clear" w:color="auto" w:fill="FFFFFF"/>
            <w:vAlign w:val="center"/>
          </w:tcPr>
          <w:p>
            <w:pPr>
              <w:widowControl/>
              <w:shd w:val="clear" w:color="auto" w:fill="FFFFFF"/>
              <w:spacing w:line="590" w:lineRule="exact"/>
              <w:jc w:val="center"/>
              <w:rPr>
                <w:rFonts w:hint="eastAsia" w:ascii="仿宋" w:hAnsi="仿宋" w:eastAsia="仿宋" w:cs="仿宋"/>
                <w:kern w:val="0"/>
                <w:sz w:val="24"/>
                <w:szCs w:val="24"/>
                <w:lang w:val="en-US"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eastAsia="zh-CN"/>
              </w:rPr>
              <w:t>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26</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潮州供电局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用电报装</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权属证明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27</w:t>
            </w:r>
          </w:p>
        </w:tc>
        <w:tc>
          <w:tcPr>
            <w:tcW w:w="2411"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潮州市公安局</w:t>
            </w:r>
          </w:p>
        </w:tc>
        <w:tc>
          <w:tcPr>
            <w:tcW w:w="1495"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驾驶证损毁换证</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eastAsia="zh-CN"/>
              </w:rPr>
            </w:pPr>
            <w:r>
              <w:rPr>
                <w:rFonts w:hint="eastAsia" w:ascii="仿宋" w:hAnsi="仿宋" w:eastAsia="仿宋" w:cs="仿宋"/>
                <w:kern w:val="0"/>
                <w:sz w:val="24"/>
                <w:szCs w:val="24"/>
                <w:lang w:eastAsia="zh-CN"/>
              </w:rPr>
              <w:t>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22"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28</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吸纳就业困难人员社会保险补贴申领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用人单位的银行基本账户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用人单位与就业困难人员签订1年以上期限的劳动合同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用人单位与本省及协作地区的脱贫人口签订1年以上期限的劳动合同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400"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29</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小微企业社保补贴申领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用人单位与毕业2年内高校毕业生签订1年以上期限的劳动合同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用人单位的银行基本账户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毕业2年内高校毕业生毕业证书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02"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招用就业困难人员一般性岗位补贴申领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用人单位的银行基本账户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29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用人单位与就业困难人员签订1年以上期限的劳动合同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用人单位与本省及协作地区的脱贫人口签订1年以上期限的劳动合同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2"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公益性岗位补贴申领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用人单位的银行基本账户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单位发放工资明细账（单）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eastAsia="zh-CN"/>
              </w:rPr>
              <w:t>与就业困难人员或本省脱贫人口签订一年以上期限的劳动合同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32</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一次性创业资助申领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营业执照（或其他法定注册登记证明）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申请人社会保障卡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学籍证明或毕业证书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国外学历学位认证书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毕业证书，户口本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《就业创业证》、《就业失业登记证》或社保缴费记录（本省务工返乡人员内部核验），户口本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核验营业执照和食品经营许可证（农家乐）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退役证或转业证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33</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租金补贴申领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营业执照或其他登记注册证明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申请人社会保障卡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场地租赁合同及租金发票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国外学历学位认证书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学籍证明或毕业证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核验营业执照和食品经营许可证（农家乐）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default" w:ascii="仿宋" w:hAnsi="仿宋" w:eastAsia="仿宋" w:cs="仿宋"/>
                <w:kern w:val="0"/>
                <w:sz w:val="24"/>
                <w:szCs w:val="24"/>
                <w:lang w:val="en-US" w:eastAsia="zh-CN"/>
              </w:rPr>
              <w:t>退役证或转业证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34</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创业带动就业补贴申领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用人单位法定代表人或主要负责人的身份证；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用人单位营业执照（或其他法定注册登记证明）复印件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用人单位与招用员工签订1年以上期限的劳动合同；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初创企业的银行账户；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35</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入孵六类创业者的营业执照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与六类创业者签订的1年以上期限书面服务协议及提供相关孵化服务的证明材料；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创业孵化基地的银行基本账户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六类创业者身份证明材料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创业孵化基地产权证明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六类创业者孵化期满前三个月的租金发票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050"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36</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职业介绍补贴申领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 xml:space="preserve">被推荐人员签名确认的职业介绍推荐信或相关用工企业出具的确认函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请单位的银行基本账户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00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在市场监督管理部门登记注册的职业中介机构需提供营业执照复印件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37</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灵活就业社保补贴申领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申请人社会保障卡；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5"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38</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吸纳退役军人就业补贴</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用人单位与退役一年内军人签订一年以上期限的劳动合同；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退役证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用人单位营业执照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用人单位的银行基本账号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39</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人力资源服务许可审批</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工商营业执照正、副本；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机构章程和管理制度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拟任负责人的基本情况、身份证明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经营场所的使用证明（自有办公场所应提交房地产权证；有偿使用的办公场所应提交租赁协议和房地产权证）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40</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申请就业见习基地认定</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单位营业执照或组织机构代码证复印件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见习岗位需求信息（包括见习岗位名称，见习人数 ，专业及学历等有关要求，见习时间安排等）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见习单位的培训条件及师资情况说明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60"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41</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申请创业孵化基地认定</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运营或管理单位营业执照（或民办非企业单位登记证）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经营场所使用证明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创业孵化基地平面图复印件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《创业孵化基地入驻孵化创业实体名册》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入驻企业营业执照复印件（未注册登记的免交）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7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《创业孵化基地运营管理团队成员花名册》，以及相关学历、专业技能证书复印件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80"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创业服务管理制度，以及与初创企业签订的一年以上期限孵化协议（注明入驻孵化时间、面积、租金收费减免和提供创业服务等事项）复印件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9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消防验收（备案）的有关资料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42</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人力资源服务变更审批</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工商营业执照正、副本（无变更可不提供）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机构章程和管理制度（无变更可不提供）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拟任负责人的基本情况、身份证明（无变更可不提供）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经营场所的使用证明（无变更可不提供）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5名以上专职工作人员花名册、身份证、学历证明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5"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43</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创业孵化示范基地确认</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申请单位的营业执照（或民办非企业单位登记证）的正、副本及复印件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5"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《潮州市创业孵化示范基地实地核查（复核）评估表》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创业孵化基地自评报告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9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《创业孵化基地入驻孵化创业实体名册》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52"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44</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就业见习补贴</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见习人员身份证，毕业证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见习协议书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见习人员签名花名册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发放见习补贴明细账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0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见习单位的银行基本账户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0" w:hRule="atLeast"/>
          <w:jc w:val="center"/>
        </w:trPr>
        <w:tc>
          <w:tcPr>
            <w:tcW w:w="827" w:type="dxa"/>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45</w:t>
            </w:r>
          </w:p>
        </w:tc>
        <w:tc>
          <w:tcPr>
            <w:tcW w:w="2411"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基层就业补贴申请</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高校毕业生社保卡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0" w:hRule="atLeast"/>
          <w:jc w:val="center"/>
        </w:trPr>
        <w:tc>
          <w:tcPr>
            <w:tcW w:w="827" w:type="dxa"/>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46</w:t>
            </w:r>
          </w:p>
        </w:tc>
        <w:tc>
          <w:tcPr>
            <w:tcW w:w="2411"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求职创业补贴申请</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求职创业补贴拟受资助名单公示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2"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47</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技工学校的设立审批</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设备配备情况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校长、教师、财会人员情况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48</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民办职业培训学校设立审批</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校长、教师（学院）、财会人员的资格证明文件原件及复印件1份（毕业证书、专业技术职称或职业资格证书、教师资格证书、会计人员从业资格证书等；申请培训学校每个专业至少配备2名以上教师，申请培训学院每个专业至少配备4名以上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827" w:type="dxa"/>
            <w:vMerge w:val="continue"/>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教学设备清单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49</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潮州市人社局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工伤认定</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广东省事故伤害（职业病）登记表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其他证明：如参保职工需提供伤者本人在未受伤之前的上下班考勤记录卡（或考勤表）；现场至少2位目击证人出具的证人证言的证明材料（附上证人的身份证复印件，证人证言（原件）需手写后亲笔签名、署日期、联系号码及捺指纹确认）；职工个人参加社会保险证明；全套就诊病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提供单位的营业执照或依法登记、备案的有关证明材料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职工伤害事故报告书（原件）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受伤者本人的身份证复印件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提交公安交通管理等部门的责任认定书或人民法院的生效裁决（复印件）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提交公安机关或人民法院的判决书或其他有效证明（复印件）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应书面说明情况（原件）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提交《革命伤残军人证》及医疗机构对旧伤复发的诊断证明（复印件）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按照法律法规规定，提交有效证明（复印件）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提交医疗机构的死亡证明（复印件）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外出是否属于用人单位指派的因工外出，遭受的事故伤害是否因工作原因所致的证明（原件）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认定因工死亡提交人民法院宣告死亡的结论（复印件）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依法承担职业病诊断的医疗卫生机构的诊断（复印件）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50</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潮州市消防救援支队湘桥区大队</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公众聚集场所投入使用、营业前消防安全检查（告知承诺件）</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消防安全制度、灭火和应急疏散预案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场所平面布置图、场所消防设施平面图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1"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法律、行政法规规定的其他材料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51</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潮州市湘桥区应急管理局</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 危险化学</w:t>
            </w:r>
            <w:r>
              <w:rPr>
                <w:rFonts w:hint="eastAsia" w:ascii="仿宋" w:hAnsi="仿宋" w:eastAsia="仿宋" w:cs="仿宋"/>
                <w:kern w:val="0"/>
                <w:sz w:val="24"/>
                <w:szCs w:val="24"/>
                <w:lang w:val="en-US" w:eastAsia="zh-CN"/>
              </w:rPr>
              <w:t>品经</w:t>
            </w:r>
            <w:r>
              <w:rPr>
                <w:rFonts w:hint="default" w:ascii="仿宋" w:hAnsi="仿宋" w:eastAsia="仿宋" w:cs="仿宋"/>
                <w:kern w:val="0"/>
                <w:sz w:val="24"/>
                <w:szCs w:val="24"/>
                <w:lang w:val="en-US" w:eastAsia="zh-CN"/>
              </w:rPr>
              <w:t>营许可证核发(新领)</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安全生产规章制度和岗位操作规程的目录清单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企业名称预先核准通知书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52</w:t>
            </w:r>
          </w:p>
        </w:tc>
        <w:tc>
          <w:tcPr>
            <w:tcW w:w="2411"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潮州市湘桥区应急</w:t>
            </w:r>
          </w:p>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管理局</w:t>
            </w:r>
          </w:p>
        </w:tc>
        <w:tc>
          <w:tcPr>
            <w:tcW w:w="1495"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危险化学品经营许可证核发</w:t>
            </w:r>
          </w:p>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(延期)</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安全生产规章制度和岗位操作规程的目录</w:t>
            </w:r>
          </w:p>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5"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53</w:t>
            </w:r>
          </w:p>
        </w:tc>
        <w:tc>
          <w:tcPr>
            <w:tcW w:w="2411"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潮州市消防救援支队枫溪区大队</w:t>
            </w:r>
          </w:p>
        </w:tc>
        <w:tc>
          <w:tcPr>
            <w:tcW w:w="1495" w:type="dxa"/>
            <w:vMerge w:val="restart"/>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公众聚集场所投入使用、营业前消防安全检查（告知承诺件）</w:t>
            </w:r>
          </w:p>
        </w:tc>
        <w:tc>
          <w:tcPr>
            <w:tcW w:w="4339" w:type="dxa"/>
            <w:shd w:val="clear" w:color="auto" w:fill="FFFFFF"/>
            <w:vAlign w:val="center"/>
          </w:tcPr>
          <w:p>
            <w:pPr>
              <w:widowControl/>
              <w:shd w:val="clear" w:color="auto" w:fill="FFFFFF"/>
              <w:spacing w:line="590" w:lineRule="exact"/>
              <w:jc w:val="left"/>
              <w:rPr>
                <w:rFonts w:hint="eastAsia"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消防安全制度、灭火和应急疏散预案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top"/>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top"/>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场所平面布置图、场所消防设施平面图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top"/>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top"/>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default" w:ascii="仿宋" w:hAnsi="仿宋" w:eastAsia="仿宋" w:cs="仿宋"/>
                <w:kern w:val="0"/>
                <w:sz w:val="24"/>
                <w:szCs w:val="24"/>
                <w:lang w:val="en-US" w:eastAsia="zh-CN"/>
              </w:rPr>
              <w:t>法律、行政法规规定的其他材料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54</w:t>
            </w:r>
          </w:p>
        </w:tc>
        <w:tc>
          <w:tcPr>
            <w:tcW w:w="2411"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居民个人取得分类所得个人所得税代扣代缴申报</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《个人所得税减免税事项报告表》（适用于高、中信用积分的纳税人）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55</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居民个人取得综合所得个人所得税预扣预缴申报</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《个人所得税减免税事项报告表》（适用于高、中信用积分的纳税人）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《商业健康保险税前扣除情况明细表》（适用于高、中信用积分的纳税人）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《个人税收递延型商业养老保险税前扣除情况明细表》（适用于高、中信用积分的纳税人）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56</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居民其他分类所得个人所得税自行申报</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《个人所得税减免税事项报告表》（适用于高、中信用积分的纳税人）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计税依据明显偏低但有正当理由的证明材料（适用于高、中信用积分的纳税人）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57</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经营所得个人所得税年度申报</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《个人所得税减免税事项报告表》（适用于高、中信用积分的纳税人）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《商业健康保险税前扣除情况明细表》（适用于高、中信用积分的纳税人）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《个人税收递延型商业养老保险税前扣除情况明细表》（适用于高、中信用积分的纳税人）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58</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经营所得个人所得税月（季）度申报</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《个人所得税减免税事项报告表》（适用于高、中信用积分的纳税人）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《商业健康保险税前扣除情况明细表》（适用于高、中信用积分的纳税人）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《个人税收递延型商业养老保险税前扣除情况明细表》（适用于高、中信用积分的纳税人）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59</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境内机构和个人发包工程作业或劳务项目备案</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合同中文译本（适用于高、中信用积分的纳税人）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与经营业务有关的合同（适用于高、中信用积分的纳税人）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60</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误收多缴退抵税</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《税务登记证》（副本）（适用于高、中信用积分的纳税人）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多缴税费证明资料原件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61</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非居民企业企业所得税年度申报</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参与工程作业或劳务项目外籍人员姓名、国籍、出入境时间、在华工作时间、地点、内容、报酬标准、支付方式、费用等情况的书面报告（适用于高、中信用积分的纳税人）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工程作业（劳务）决算（结算）报告或说明材料（适用于高、中信用积分的纳税人）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房地产开发企业成本对象管理专项报告（适用于高、中信用积分的纳税人）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restart"/>
            <w:shd w:val="clear" w:color="auto" w:fill="FFFFFF"/>
            <w:vAlign w:val="center"/>
          </w:tcPr>
          <w:p>
            <w:pPr>
              <w:widowControl/>
              <w:shd w:val="clear" w:color="auto" w:fill="FFFFFF"/>
              <w:spacing w:line="59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62</w:t>
            </w:r>
          </w:p>
        </w:tc>
        <w:tc>
          <w:tcPr>
            <w:tcW w:w="2411"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国家税务总局潮州市枫溪区税务局</w:t>
            </w:r>
          </w:p>
        </w:tc>
        <w:tc>
          <w:tcPr>
            <w:tcW w:w="1495" w:type="dxa"/>
            <w:vMerge w:val="restart"/>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中国税收居民身份证明的开具</w:t>
            </w: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总分机构的登记注册情况（适用于高、中信用积分的纳税人）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合伙企业登记注册情况（适用于高、中信用积分的纳税人）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补充提供的资料（适用于高、中信用积分的纳税人）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27" w:hRule="atLeast"/>
          <w:jc w:val="center"/>
        </w:trPr>
        <w:tc>
          <w:tcPr>
            <w:tcW w:w="827" w:type="dxa"/>
            <w:vMerge w:val="continue"/>
            <w:tcBorders/>
            <w:shd w:val="clear" w:color="auto" w:fill="FFFFFF"/>
          </w:tcPr>
          <w:p>
            <w:pPr>
              <w:widowControl/>
              <w:shd w:val="clear" w:color="auto" w:fill="FFFFFF"/>
              <w:spacing w:line="590" w:lineRule="exact"/>
              <w:jc w:val="left"/>
              <w:rPr>
                <w:rFonts w:hint="default" w:ascii="仿宋" w:hAnsi="仿宋" w:eastAsia="仿宋" w:cs="仿宋"/>
                <w:kern w:val="0"/>
                <w:sz w:val="24"/>
                <w:szCs w:val="24"/>
                <w:lang w:eastAsia="zh-CN"/>
              </w:rPr>
            </w:pPr>
          </w:p>
        </w:tc>
        <w:tc>
          <w:tcPr>
            <w:tcW w:w="2411"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1495" w:type="dxa"/>
            <w:vMerge w:val="continue"/>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p>
        </w:tc>
        <w:tc>
          <w:tcPr>
            <w:tcW w:w="4339" w:type="dxa"/>
            <w:shd w:val="clear" w:color="auto" w:fill="FFFFFF"/>
            <w:vAlign w:val="center"/>
          </w:tcPr>
          <w:p>
            <w:pPr>
              <w:widowControl/>
              <w:shd w:val="clear" w:color="auto" w:fill="FFFFFF"/>
              <w:spacing w:line="590" w:lineRule="exact"/>
              <w:jc w:val="left"/>
              <w:rPr>
                <w:rFonts w:hint="default" w:ascii="仿宋" w:hAnsi="仿宋" w:eastAsia="仿宋" w:cs="仿宋"/>
                <w:kern w:val="0"/>
                <w:sz w:val="24"/>
                <w:szCs w:val="24"/>
                <w:lang w:val="en-US" w:eastAsia="zh-CN"/>
              </w:rPr>
            </w:pPr>
            <w:bookmarkStart w:id="0" w:name="_GoBack"/>
            <w:bookmarkEnd w:id="0"/>
            <w:r>
              <w:rPr>
                <w:rFonts w:hint="eastAsia" w:ascii="仿宋" w:hAnsi="仿宋" w:eastAsia="仿宋" w:cs="仿宋"/>
                <w:kern w:val="0"/>
                <w:sz w:val="24"/>
                <w:szCs w:val="24"/>
                <w:lang w:val="en-US" w:eastAsia="zh-CN"/>
              </w:rPr>
              <w:t>需要特殊要求书面说明以及《税收居民证明》样式（适用于高、中信用积分的纳税人）</w:t>
            </w:r>
          </w:p>
        </w:tc>
      </w:tr>
    </w:tbl>
    <w:p>
      <w:pPr>
        <w:widowControl/>
        <w:shd w:val="clear" w:color="auto" w:fill="FFFFFF"/>
        <w:spacing w:line="590" w:lineRule="exact"/>
        <w:jc w:val="left"/>
        <w:rPr>
          <w:rFonts w:hint="default" w:ascii="仿宋" w:hAnsi="仿宋" w:eastAsia="仿宋" w:cs="仿宋"/>
          <w:kern w:val="0"/>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容缺受理是指对基本条件具备、主要申请材料齐全且符合法定形式，但次要条件或申请材料欠缺的政务服务事项，经过申请人作出相应承诺后，政务服务大厅“一窗式”综合受理窗口可先予受理，当场一次性告知需要补正的材料、补正形式、时限和超期补正处理办法后，转审批部门进行实质审查。</w:t>
      </w:r>
    </w:p>
    <w:sectPr>
      <w:pgSz w:w="11906" w:h="16838"/>
      <w:pgMar w:top="986"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210A"/>
    <w:rsid w:val="02012422"/>
    <w:rsid w:val="028E6B6E"/>
    <w:rsid w:val="044518B3"/>
    <w:rsid w:val="05784AE2"/>
    <w:rsid w:val="064F5BCF"/>
    <w:rsid w:val="06D10224"/>
    <w:rsid w:val="06F25AF0"/>
    <w:rsid w:val="0704278C"/>
    <w:rsid w:val="074620EE"/>
    <w:rsid w:val="075E7800"/>
    <w:rsid w:val="0BF3086F"/>
    <w:rsid w:val="0C600240"/>
    <w:rsid w:val="0C891EA5"/>
    <w:rsid w:val="0D6705B9"/>
    <w:rsid w:val="0E5C2AA7"/>
    <w:rsid w:val="0FF97967"/>
    <w:rsid w:val="111F185C"/>
    <w:rsid w:val="151060D2"/>
    <w:rsid w:val="154E473C"/>
    <w:rsid w:val="176B0076"/>
    <w:rsid w:val="1A51356D"/>
    <w:rsid w:val="1B4F319B"/>
    <w:rsid w:val="1C051BC9"/>
    <w:rsid w:val="1C07206C"/>
    <w:rsid w:val="1EF209F7"/>
    <w:rsid w:val="1FC96F20"/>
    <w:rsid w:val="1FD237EA"/>
    <w:rsid w:val="229C1C4B"/>
    <w:rsid w:val="23C00C92"/>
    <w:rsid w:val="2464564C"/>
    <w:rsid w:val="274F1826"/>
    <w:rsid w:val="2CC67872"/>
    <w:rsid w:val="2CD27E6F"/>
    <w:rsid w:val="2D2B7ABF"/>
    <w:rsid w:val="2EDA46F3"/>
    <w:rsid w:val="2F00643C"/>
    <w:rsid w:val="30786A05"/>
    <w:rsid w:val="30EB066D"/>
    <w:rsid w:val="34481F22"/>
    <w:rsid w:val="34565F96"/>
    <w:rsid w:val="35710B4C"/>
    <w:rsid w:val="364C1170"/>
    <w:rsid w:val="38A748C1"/>
    <w:rsid w:val="39662204"/>
    <w:rsid w:val="3A630220"/>
    <w:rsid w:val="3AC26313"/>
    <w:rsid w:val="3F01579C"/>
    <w:rsid w:val="40843C57"/>
    <w:rsid w:val="427E7295"/>
    <w:rsid w:val="452A2368"/>
    <w:rsid w:val="45777E2F"/>
    <w:rsid w:val="46B23479"/>
    <w:rsid w:val="47B35C14"/>
    <w:rsid w:val="47CF6920"/>
    <w:rsid w:val="498D514D"/>
    <w:rsid w:val="49C8595B"/>
    <w:rsid w:val="4AD03906"/>
    <w:rsid w:val="4B105F61"/>
    <w:rsid w:val="4BF15D82"/>
    <w:rsid w:val="4ECA0568"/>
    <w:rsid w:val="5057630F"/>
    <w:rsid w:val="54A12CF4"/>
    <w:rsid w:val="5A186C4D"/>
    <w:rsid w:val="5A7144BD"/>
    <w:rsid w:val="5AAA3659"/>
    <w:rsid w:val="5CD13F0B"/>
    <w:rsid w:val="5E44778E"/>
    <w:rsid w:val="63477FBB"/>
    <w:rsid w:val="649260FA"/>
    <w:rsid w:val="669B1D04"/>
    <w:rsid w:val="68BC5777"/>
    <w:rsid w:val="6988368F"/>
    <w:rsid w:val="6AAA428F"/>
    <w:rsid w:val="6B291CCE"/>
    <w:rsid w:val="6D262B79"/>
    <w:rsid w:val="710B4121"/>
    <w:rsid w:val="71A8210A"/>
    <w:rsid w:val="738D1411"/>
    <w:rsid w:val="73F46854"/>
    <w:rsid w:val="74267571"/>
    <w:rsid w:val="75FB334B"/>
    <w:rsid w:val="769F0417"/>
    <w:rsid w:val="77EC0FD3"/>
    <w:rsid w:val="79EC0829"/>
    <w:rsid w:val="7DF45942"/>
    <w:rsid w:val="7E151503"/>
    <w:rsid w:val="7EB44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2018-06-08T09:32:00Z</dcterms:created>
  <dc:creator>dengd</dc:creator>
  <cp:lastModifiedBy>cn</cp:lastModifiedBy>
  <cp:lastPrinted>2020-06-30T01:01:00Z</cp:lastPrinted>
  <dcterms:modified xsi:type="dcterms:W3CDTF">2021-10-26T07:08:53Z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0799B041AC864569BB1E8A963DBB8C56</vt:lpwstr>
  </property>
</Properties>
</file>