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eastAsia="方正小标宋_GBK" w:cs="宋体"/>
          <w:kern w:val="0"/>
          <w:sz w:val="44"/>
          <w:szCs w:val="44"/>
        </w:rPr>
      </w:pPr>
    </w:p>
    <w:p>
      <w:pPr>
        <w:widowControl/>
        <w:shd w:val="clear" w:color="auto" w:fill="FFFFFF"/>
        <w:spacing w:line="600" w:lineRule="exact"/>
        <w:jc w:val="center"/>
        <w:rPr>
          <w:rFonts w:hint="eastAsia" w:eastAsia="方正小标宋_GBK" w:cs="宋体"/>
          <w:kern w:val="0"/>
          <w:sz w:val="44"/>
          <w:szCs w:val="44"/>
        </w:rPr>
      </w:pPr>
      <w:r>
        <w:rPr>
          <w:rFonts w:hint="eastAsia" w:eastAsia="方正小标宋_GBK" w:cs="宋体"/>
          <w:kern w:val="0"/>
          <w:sz w:val="44"/>
          <w:szCs w:val="44"/>
        </w:rPr>
        <w:t>潮州市政务服务“告知承诺”事项清单</w:t>
      </w:r>
      <w:bookmarkStart w:id="0" w:name="_GoBack"/>
      <w:bookmarkEnd w:id="0"/>
    </w:p>
    <w:p>
      <w:pPr>
        <w:pStyle w:val="2"/>
      </w:pPr>
    </w:p>
    <w:tbl>
      <w:tblPr>
        <w:tblStyle w:val="8"/>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99"/>
        <w:gridCol w:w="1335"/>
        <w:gridCol w:w="2950"/>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19" w:hRule="atLeast"/>
          <w:jc w:val="center"/>
        </w:trPr>
        <w:tc>
          <w:tcPr>
            <w:tcW w:w="799" w:type="dxa"/>
            <w:shd w:val="clear" w:color="auto" w:fill="auto"/>
            <w:tcMar>
              <w:top w:w="0" w:type="dxa"/>
              <w:left w:w="105" w:type="dxa"/>
              <w:bottom w:w="0" w:type="dxa"/>
              <w:right w:w="105" w:type="dxa"/>
            </w:tcMar>
            <w:vAlign w:val="center"/>
          </w:tcPr>
          <w:p>
            <w:pPr>
              <w:widowControl/>
              <w:spacing w:line="400" w:lineRule="exact"/>
              <w:jc w:val="center"/>
              <w:rPr>
                <w:rFonts w:ascii="黑体" w:hAnsi="黑体" w:eastAsia="黑体" w:cs="黑体"/>
                <w:snapToGrid w:val="0"/>
                <w:sz w:val="28"/>
                <w:szCs w:val="28"/>
              </w:rPr>
            </w:pPr>
            <w:r>
              <w:rPr>
                <w:rFonts w:hint="eastAsia" w:ascii="黑体" w:hAnsi="黑体" w:eastAsia="黑体" w:cs="黑体"/>
                <w:snapToGrid w:val="0"/>
                <w:sz w:val="28"/>
                <w:szCs w:val="28"/>
              </w:rPr>
              <w:t>序号</w:t>
            </w:r>
          </w:p>
        </w:tc>
        <w:tc>
          <w:tcPr>
            <w:tcW w:w="1335" w:type="dxa"/>
            <w:shd w:val="clear" w:color="auto" w:fill="auto"/>
            <w:tcMar>
              <w:top w:w="0" w:type="dxa"/>
              <w:left w:w="105" w:type="dxa"/>
              <w:bottom w:w="0" w:type="dxa"/>
              <w:right w:w="105" w:type="dxa"/>
            </w:tcMar>
            <w:vAlign w:val="center"/>
          </w:tcPr>
          <w:p>
            <w:pPr>
              <w:widowControl/>
              <w:spacing w:line="400" w:lineRule="exact"/>
              <w:jc w:val="center"/>
              <w:rPr>
                <w:rFonts w:hint="eastAsia" w:ascii="黑体" w:hAnsi="黑体" w:eastAsia="黑体" w:cs="黑体"/>
                <w:snapToGrid w:val="0"/>
                <w:sz w:val="28"/>
                <w:szCs w:val="28"/>
              </w:rPr>
            </w:pPr>
            <w:r>
              <w:rPr>
                <w:rFonts w:hint="eastAsia" w:ascii="黑体" w:hAnsi="黑体" w:eastAsia="黑体" w:cs="黑体"/>
                <w:snapToGrid w:val="0"/>
                <w:sz w:val="28"/>
                <w:szCs w:val="28"/>
              </w:rPr>
              <w:t>审批</w:t>
            </w:r>
          </w:p>
          <w:p>
            <w:pPr>
              <w:widowControl/>
              <w:spacing w:line="400" w:lineRule="exact"/>
              <w:jc w:val="center"/>
              <w:rPr>
                <w:rFonts w:ascii="黑体" w:hAnsi="黑体" w:eastAsia="黑体" w:cs="黑体"/>
                <w:snapToGrid w:val="0"/>
                <w:sz w:val="28"/>
                <w:szCs w:val="28"/>
              </w:rPr>
            </w:pPr>
            <w:r>
              <w:rPr>
                <w:rFonts w:hint="eastAsia" w:ascii="黑体" w:hAnsi="黑体" w:eastAsia="黑体" w:cs="黑体"/>
                <w:snapToGrid w:val="0"/>
                <w:sz w:val="28"/>
                <w:szCs w:val="28"/>
              </w:rPr>
              <w:t>单位</w:t>
            </w:r>
          </w:p>
        </w:tc>
        <w:tc>
          <w:tcPr>
            <w:tcW w:w="2950" w:type="dxa"/>
            <w:shd w:val="clear" w:color="auto" w:fill="auto"/>
            <w:tcMar>
              <w:top w:w="0" w:type="dxa"/>
              <w:left w:w="105" w:type="dxa"/>
              <w:bottom w:w="0" w:type="dxa"/>
              <w:right w:w="105" w:type="dxa"/>
            </w:tcMar>
            <w:vAlign w:val="center"/>
          </w:tcPr>
          <w:p>
            <w:pPr>
              <w:widowControl/>
              <w:spacing w:line="400" w:lineRule="exact"/>
              <w:jc w:val="center"/>
              <w:rPr>
                <w:rFonts w:ascii="黑体" w:hAnsi="黑体" w:eastAsia="黑体" w:cs="黑体"/>
                <w:snapToGrid w:val="0"/>
                <w:sz w:val="28"/>
                <w:szCs w:val="28"/>
              </w:rPr>
            </w:pPr>
            <w:r>
              <w:rPr>
                <w:rFonts w:hint="eastAsia" w:ascii="黑体" w:hAnsi="黑体" w:eastAsia="黑体" w:cs="黑体"/>
                <w:snapToGrid w:val="0"/>
                <w:sz w:val="28"/>
                <w:szCs w:val="28"/>
              </w:rPr>
              <w:t>事项名称</w:t>
            </w:r>
          </w:p>
        </w:tc>
        <w:tc>
          <w:tcPr>
            <w:tcW w:w="3834" w:type="dxa"/>
            <w:shd w:val="clear" w:color="auto" w:fill="auto"/>
            <w:vAlign w:val="center"/>
          </w:tcPr>
          <w:p>
            <w:pPr>
              <w:widowControl/>
              <w:spacing w:line="400" w:lineRule="exact"/>
              <w:jc w:val="center"/>
              <w:rPr>
                <w:rFonts w:ascii="黑体" w:hAnsi="黑体" w:eastAsia="黑体" w:cs="黑体"/>
                <w:snapToGrid w:val="0"/>
                <w:sz w:val="28"/>
                <w:szCs w:val="28"/>
              </w:rPr>
            </w:pPr>
            <w:r>
              <w:rPr>
                <w:rFonts w:hint="eastAsia" w:ascii="黑体" w:hAnsi="黑体" w:eastAsia="黑体" w:cs="黑体"/>
                <w:snapToGrid w:val="0"/>
                <w:sz w:val="28"/>
                <w:szCs w:val="28"/>
              </w:rPr>
              <w:t>可实行告知承诺的材料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jc w:val="center"/>
        </w:trPr>
        <w:tc>
          <w:tcPr>
            <w:tcW w:w="799"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1</w:t>
            </w:r>
          </w:p>
        </w:tc>
        <w:tc>
          <w:tcPr>
            <w:tcW w:w="1335" w:type="dxa"/>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sz w:val="24"/>
                <w:szCs w:val="24"/>
              </w:rPr>
            </w:pPr>
            <w:r>
              <w:rPr>
                <w:rFonts w:hint="eastAsia" w:ascii="仿宋" w:hAnsi="仿宋" w:eastAsia="仿宋" w:cs="仿宋"/>
                <w:b w:val="0"/>
                <w:bCs w:val="0"/>
                <w:color w:val="000000" w:themeColor="text1"/>
                <w:sz w:val="24"/>
                <w:szCs w:val="24"/>
                <w14:textFill>
                  <w14:solidFill>
                    <w14:schemeClr w14:val="tx1"/>
                  </w14:solidFill>
                </w14:textFill>
              </w:rPr>
              <w:t>专职律师执业许可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snapToGrid w:val="0"/>
                <w:sz w:val="24"/>
                <w:szCs w:val="24"/>
              </w:rPr>
            </w:pPr>
            <w:r>
              <w:rPr>
                <w:rFonts w:hint="eastAsia" w:ascii="仿宋" w:hAnsi="仿宋" w:eastAsia="仿宋" w:cs="仿宋"/>
                <w:b w:val="0"/>
                <w:bCs w:val="0"/>
                <w:color w:val="000000" w:themeColor="text1"/>
                <w:sz w:val="24"/>
                <w:szCs w:val="24"/>
                <w14:textFill>
                  <w14:solidFill>
                    <w14:schemeClr w14:val="tx1"/>
                  </w14:solidFill>
                </w14:textFill>
              </w:rPr>
              <w:t>未受过刑事处罚的证明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2</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sz w:val="24"/>
                <w:szCs w:val="24"/>
              </w:rPr>
            </w:pPr>
            <w:r>
              <w:rPr>
                <w:rFonts w:hint="eastAsia" w:ascii="仿宋" w:hAnsi="仿宋" w:eastAsia="仿宋" w:cs="仿宋"/>
                <w:b w:val="0"/>
                <w:bCs w:val="0"/>
                <w:color w:val="000000" w:themeColor="text1"/>
                <w:sz w:val="24"/>
                <w:szCs w:val="24"/>
                <w14:textFill>
                  <w14:solidFill>
                    <w14:schemeClr w14:val="tx1"/>
                  </w14:solidFill>
                </w14:textFill>
              </w:rPr>
              <w:t>申请兼职律师执业</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snapToGrid w:val="0"/>
                <w:sz w:val="24"/>
                <w:szCs w:val="24"/>
              </w:rPr>
            </w:pPr>
            <w:r>
              <w:rPr>
                <w:rFonts w:hint="eastAsia" w:ascii="仿宋" w:hAnsi="仿宋" w:eastAsia="仿宋" w:cs="仿宋"/>
                <w:b w:val="0"/>
                <w:bCs w:val="0"/>
                <w:color w:val="000000" w:themeColor="text1"/>
                <w:sz w:val="24"/>
                <w:szCs w:val="24"/>
                <w14:textFill>
                  <w14:solidFill>
                    <w14:schemeClr w14:val="tx1"/>
                  </w14:solidFill>
                </w14:textFill>
              </w:rPr>
              <w:t>在高等院校、科研机构从事法学教育、研究工作的经历证明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4"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3</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取得国家法律职业资格的台湾居民在大陆申请从事律师职业</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台湾居民身份证明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4</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申请律师事务所设立</w:t>
            </w:r>
          </w:p>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住所证明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3"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5</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申请专职律师执业许可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律师协会出具的《广东省申请律师执业人员实习考核登记表》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5"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6</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申请兼职律师执业许可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律师协会出具的《广东省申请律师执业人员实习考核登记表》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4"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7</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申请法律援助律师</w:t>
            </w:r>
          </w:p>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执业许可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律师协会出具的《广东省申请律师执业人员实习考核登记表》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4"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8</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香港、澳门永久性居民中中国居民申请在内地从事律师职业核准</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律师协会出具的《广东省申请律师执业人员实习考核登记表》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9</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台湾居民申请在大陆从事律师职业许可</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律师协会出具的《广东省申请律师执业人员实习考核登记表》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10</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z w:val="24"/>
                <w:szCs w:val="24"/>
              </w:rPr>
              <w:t>司法鉴定机构分支机构设立登记</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napToGrid w:val="0"/>
                <w:sz w:val="24"/>
                <w:szCs w:val="24"/>
              </w:rPr>
              <w:t>司法鉴定机构设立单位的法定代表人及司法鉴定机构负责人</w:t>
            </w:r>
            <w:r>
              <w:rPr>
                <w:rFonts w:hint="eastAsia" w:ascii="仿宋" w:hAnsi="仿宋" w:eastAsia="仿宋" w:cs="仿宋"/>
                <w:b w:val="0"/>
                <w:bCs w:val="0"/>
                <w:snapToGrid w:val="0"/>
                <w:sz w:val="24"/>
                <w:szCs w:val="24"/>
                <w:lang w:eastAsia="zh-CN"/>
              </w:rPr>
              <w:t>未受过刑事处罚或开除公职处分的证明材料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11</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z w:val="24"/>
                <w:szCs w:val="24"/>
              </w:rPr>
              <w:t>司法鉴定机构设立登记</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napToGrid w:val="0"/>
                <w:sz w:val="24"/>
                <w:szCs w:val="24"/>
              </w:rPr>
              <w:t>无犯罪承诺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12</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napToGrid w:val="0"/>
                <w:sz w:val="24"/>
                <w:szCs w:val="24"/>
              </w:rPr>
              <w:t>司法鉴定人执业准予登记</w:t>
            </w:r>
          </w:p>
        </w:tc>
        <w:tc>
          <w:tcPr>
            <w:tcW w:w="3834"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snapToGrid w:val="0"/>
                <w:sz w:val="24"/>
                <w:szCs w:val="24"/>
              </w:rPr>
              <w:t>申请人自身无犯罪的书面承诺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13</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i w:val="0"/>
                <w:color w:val="auto"/>
                <w:kern w:val="0"/>
                <w:sz w:val="24"/>
                <w:szCs w:val="24"/>
                <w:u w:val="none"/>
                <w:lang w:val="en-US" w:eastAsia="zh-CN" w:bidi="ar-SA"/>
              </w:rPr>
              <w:t>享受特困供养待遇人员</w:t>
            </w:r>
            <w:r>
              <w:rPr>
                <w:rStyle w:val="13"/>
                <w:rFonts w:hint="eastAsia" w:ascii="仿宋" w:hAnsi="仿宋" w:eastAsia="仿宋" w:cs="仿宋"/>
                <w:b w:val="0"/>
                <w:bCs w:val="0"/>
                <w:color w:val="auto"/>
                <w:sz w:val="24"/>
                <w:szCs w:val="24"/>
                <w:lang w:val="en-US" w:eastAsia="zh-CN" w:bidi="ar"/>
              </w:rPr>
              <w:t>申请法律援助</w:t>
            </w:r>
          </w:p>
        </w:tc>
        <w:tc>
          <w:tcPr>
            <w:tcW w:w="383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outlineLvl w:val="9"/>
              <w:rPr>
                <w:rFonts w:hint="eastAsia" w:ascii="仿宋" w:hAnsi="仿宋" w:eastAsia="仿宋" w:cs="仿宋"/>
                <w:b w:val="0"/>
                <w:bCs w:val="0"/>
                <w:color w:val="auto"/>
                <w:kern w:val="2"/>
                <w:sz w:val="24"/>
                <w:szCs w:val="24"/>
                <w:highlight w:val="none"/>
                <w:shd w:val="clear" w:color="auto" w:fill="FFFFFF"/>
                <w:vertAlign w:val="baseline"/>
                <w:lang w:val="en-US" w:eastAsia="zh-CN" w:bidi="ar-SA"/>
              </w:rPr>
            </w:pPr>
            <w:r>
              <w:rPr>
                <w:rFonts w:hint="eastAsia" w:ascii="仿宋" w:hAnsi="仿宋" w:eastAsia="仿宋" w:cs="仿宋"/>
                <w:b w:val="0"/>
                <w:bCs w:val="0"/>
                <w:i w:val="0"/>
                <w:color w:val="auto"/>
                <w:kern w:val="0"/>
                <w:sz w:val="24"/>
                <w:szCs w:val="24"/>
                <w:u w:val="none"/>
                <w:lang w:val="en-US" w:eastAsia="zh-CN" w:bidi="ar-SA"/>
              </w:rPr>
              <w:t>享受特困供养待遇证明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14</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b w:val="0"/>
                <w:bCs w:val="0"/>
                <w:snapToGrid w:val="0"/>
                <w:sz w:val="24"/>
                <w:szCs w:val="24"/>
              </w:rPr>
              <w:t>司法局</w:t>
            </w:r>
          </w:p>
        </w:tc>
        <w:tc>
          <w:tcPr>
            <w:tcW w:w="2950" w:type="dxa"/>
            <w:shd w:val="clear" w:color="auto" w:fill="auto"/>
            <w:vAlign w:val="center"/>
          </w:tcPr>
          <w:p>
            <w:pPr>
              <w:keepNext w:val="0"/>
              <w:keepLines w:val="0"/>
              <w:pageBreakBefore w:val="0"/>
              <w:kinsoku/>
              <w:wordWrap/>
              <w:overflowPunct/>
              <w:topLinePunct w:val="0"/>
              <w:autoSpaceDE/>
              <w:autoSpaceDN/>
              <w:bidi w:val="0"/>
              <w:adjustRightInd/>
              <w:snapToGrid/>
              <w:jc w:val="both"/>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i w:val="0"/>
                <w:color w:val="auto"/>
                <w:kern w:val="0"/>
                <w:sz w:val="24"/>
                <w:szCs w:val="24"/>
                <w:u w:val="none"/>
                <w:lang w:val="en-US" w:eastAsia="zh-CN" w:bidi="ar-SA"/>
              </w:rPr>
              <w:t>领取最低生活保障金人员</w:t>
            </w:r>
            <w:r>
              <w:rPr>
                <w:rStyle w:val="13"/>
                <w:rFonts w:hint="eastAsia" w:ascii="仿宋" w:hAnsi="仿宋" w:eastAsia="仿宋" w:cs="仿宋"/>
                <w:b w:val="0"/>
                <w:bCs w:val="0"/>
                <w:color w:val="auto"/>
                <w:sz w:val="24"/>
                <w:szCs w:val="24"/>
                <w:lang w:val="en-US" w:eastAsia="zh-CN" w:bidi="ar"/>
              </w:rPr>
              <w:t>申请法律援助</w:t>
            </w:r>
          </w:p>
        </w:tc>
        <w:tc>
          <w:tcPr>
            <w:tcW w:w="383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outlineLvl w:val="9"/>
              <w:rPr>
                <w:rFonts w:hint="eastAsia" w:ascii="仿宋" w:hAnsi="仿宋" w:eastAsia="仿宋" w:cs="仿宋"/>
                <w:b w:val="0"/>
                <w:bCs w:val="0"/>
                <w:color w:val="auto"/>
                <w:kern w:val="2"/>
                <w:sz w:val="24"/>
                <w:szCs w:val="24"/>
                <w:highlight w:val="none"/>
                <w:shd w:val="clear" w:color="auto" w:fill="FFFFFF"/>
                <w:vertAlign w:val="baseline"/>
                <w:lang w:val="en-US" w:eastAsia="zh-CN" w:bidi="ar-SA"/>
              </w:rPr>
            </w:pPr>
            <w:r>
              <w:rPr>
                <w:rFonts w:hint="eastAsia" w:ascii="仿宋" w:hAnsi="仿宋" w:eastAsia="仿宋" w:cs="仿宋"/>
                <w:b w:val="0"/>
                <w:bCs w:val="0"/>
                <w:i w:val="0"/>
                <w:color w:val="auto"/>
                <w:kern w:val="0"/>
                <w:sz w:val="24"/>
                <w:szCs w:val="24"/>
                <w:u w:val="none"/>
                <w:lang w:val="en-US" w:eastAsia="zh-CN" w:bidi="ar-SA"/>
              </w:rPr>
              <w:t>领取最低生活保障金的证明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15</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低收入困难家庭成员申请法律援助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低收入困难家庭证明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16</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接受政府临时救济的人员申请法律援助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接受政府临时救济的证明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17</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政府出资供养或者慈善机构出资供养人员申请法律援助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政府出资供养或者慈善机构出资供养证明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18</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困难残疾人家庭、重度残疾且无固定生活来源或者一户多残人员申请法律援助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困难残疾人家庭、重度残疾且无固定生活来源或者一户多残证明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19</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因民事诉讼获得人民法院司法救助的人员申请法律援助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申请人因民事诉讼获得人民法院司法救助的证明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20</w:t>
            </w:r>
          </w:p>
        </w:tc>
        <w:tc>
          <w:tcPr>
            <w:tcW w:w="13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一年内因经济困难申请并获得法律援助的人员申请法律援助</w:t>
            </w:r>
          </w:p>
        </w:tc>
        <w:tc>
          <w:tcPr>
            <w:tcW w:w="3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一年内因经济困难申请并获得法律援助的证明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21</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刑满释放、解除强制隔离戒毒后未就业、生活无着人员申请法律援助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刑满释放、解除强制隔离戒毒后未就业、生活无着的证明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22</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义务兵、供给制学员及军属申请法律援助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义务兵、供给制学员及军属证明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23</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执行作战、重大非战争军事行动任务的军人及军属申请法律援助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属于执行作战、重大非战争军事行动任务的军人及军属证明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24</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烈士、因公牺牲军人、病故军人的遗属申请法律援助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烈士、因公牺牲军人、病故军人的遗属证明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25</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军队中的文职人员、非现役公勤人员、在编职工申请法律援助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属于军队中的文职人员、非现役公勤人员、在编职工的证明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26</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军队管理的离退休人员申请法律援助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离退休人员由军队管理的证明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27</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执行军事任务的预备役人员和其他人员申请法律援助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预备役人员和其他人员执行军事任务的证明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28</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因公致残的警察申请法律援助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警察因公致残证明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29</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因公牺牲或者病故的警察家属申请法律援助</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属于因公牺牲或者病故的警察的家属证明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30</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司法局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主张因见义勇为行为产生的民事权益申请法律援助的</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见义勇为证明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31</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市民政局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市管权限的地名命名审核、审批</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32</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市民政局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市管权限的地名更名审核、审批</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33</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潮州市农业农村局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生猪定点屠宰厂（场）设置审查</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34</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潮州市农业农村局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兽药经营许可（生物制品类）</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质量管理工作人员身份证及学历证 或相关专业初级以上专业技术职称证书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35</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潮州市气象局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雷电防护装置设计审核</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雷电防护装置设计审核申请表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36</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潮州市气象局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雷电防护装置竣工验收</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雷电防护装置竣工验收申请表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37</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潮州市商务局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企业申请取得从事拍卖业务许可的核准</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企业已购买或租用固定办公场所的书面承诺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38</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潮州市商务局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拍卖企业分公司申请取得从事拍卖业务许可的核准</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企业已购买或租用固定办公场所的书面承诺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39</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潮州市卫生健康局</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公共场所卫生许可（新证、含新改、扩建-告知承诺制）</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从业人员健康合格证明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一年内的有效卫生检测报告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9"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40</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潮州市消防救援支队</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公众聚集场所投入使用、营业前消防安全检查（告知承诺件）</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公众聚集场所投入使用、营业消防安全告知承诺书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9"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41</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潮州市应急管理局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非煤矿矿山企业安全生产许可证核发（延期）</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42</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潮州市应急管理局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危险化学品经营许可证核发（延期）</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43</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潮州市林业局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林草种子（普通）生产经营许可证</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一次性告知申请人许可条件和所需材料，对申请人自愿承诺符合许可条件并按要求提交材料的，当场作出许可决定。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44</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潮州市林业局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省级权限内国家重要保护陆生野生动物人工繁育许可证核发（已制定人工繁育技术标准的物种和列入人工繁育国家重点保护陆生野生动物目录的物种）</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人工繁育野生动物的场地、防逃逸设施、笼舍、隔离墙（网）等现场图片，及实际面积、规格、安全性的说明材料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45</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both"/>
              <w:rPr>
                <w:rFonts w:hint="eastAsia"/>
                <w:sz w:val="24"/>
                <w:szCs w:val="24"/>
                <w:lang w:val="en-US" w:eastAsia="zh-CN"/>
              </w:rPr>
            </w:pPr>
            <w:r>
              <w:rPr>
                <w:rFonts w:hint="eastAsia" w:ascii="仿宋" w:hAnsi="仿宋" w:eastAsia="仿宋" w:cs="仿宋"/>
                <w:b w:val="0"/>
                <w:bCs w:val="0"/>
                <w:snapToGrid w:val="0"/>
                <w:sz w:val="24"/>
                <w:szCs w:val="24"/>
                <w:lang w:val="en-US" w:eastAsia="zh-CN"/>
              </w:rPr>
              <w:t>购买自住住房贷款</w:t>
            </w:r>
            <w:r>
              <w:rPr>
                <w:rFonts w:hint="eastAsia"/>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46</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购买自住住房提取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47</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租房提取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48</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偿还购房贷款本息提取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49</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出境定居提取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50</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大修自住住房提取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51</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翻建自住住房提取</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52</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建造自住住房提取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53</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离休、退休提取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54</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死亡提取</w:t>
            </w:r>
            <w:r>
              <w:rPr>
                <w:rFonts w:hint="eastAsia" w:ascii="仿宋" w:hAnsi="仿宋" w:eastAsia="仿宋" w:cs="仿宋"/>
                <w:b w:val="0"/>
                <w:bCs w:val="0"/>
                <w:snapToGrid w:val="0"/>
                <w:sz w:val="24"/>
                <w:szCs w:val="24"/>
                <w:lang w:val="en-US" w:eastAsia="zh-CN"/>
              </w:rPr>
              <w:br w:type="textWrapping"/>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55</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潮州市住房公积金管理中心</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完全丧失劳动能力，并与单位终止劳动关系提取</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56</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潮州粤海水务有限公司</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含外线工程用水报装和接入（单位用户）</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9"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不动产权证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57</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潮州粤海水务有限公司</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不含外线工程用水报装和接入（单位用户）</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不动产权证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58</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潮州粤海水务有限公司</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含外线工程用水报装和接入（工程建设项目专用）</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不动产权证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59</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潮州粤海水务有限公司</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不含外线工程用水报装和接入（工程建设项目专用）</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不动产权证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60</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湘桥区财政局</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设立除会计师事务所以外的代理记账机构审批</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代理记账业务内部规范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代理记账资格申请表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申请人委托他人办理时，应提供被委托人身份证明及授权委托书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主管代理记账业务的负责人具备会计师以上专业技术职务资格或者从事会计工作不少于三年的书面承诺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专职从业人员在本机构专职从业的书面承诺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61</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潮州市消防救援支队湘桥区大队</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公众聚集场所投入使用、营业前消防安全检查（告知承诺件）</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公众聚集场所投入使用、营业消防安全告知承诺书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62</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潮州市湘桥区应急管理局</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危险化学品经营许可证核发(新领)</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安全生产规章制度和岗位操作</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规程的目录清单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企业名称预先核准通知书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63</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潮州市湘桥</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区应急管理</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 危险化学品经营许可证核发(延 期)</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安全生产规章制度和岗位操作</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 w:hAnsi="仿宋" w:eastAsia="仿宋" w:cs="仿宋"/>
                <w:b w:val="0"/>
                <w:bCs w:val="0"/>
                <w:snapToGrid w:val="0"/>
                <w:sz w:val="24"/>
                <w:szCs w:val="24"/>
                <w:lang w:val="en-US" w:eastAsia="zh-CN"/>
              </w:rPr>
            </w:pPr>
            <w:r>
              <w:rPr>
                <w:rFonts w:hint="default" w:ascii="仿宋" w:hAnsi="仿宋" w:eastAsia="仿宋" w:cs="仿宋"/>
                <w:b w:val="0"/>
                <w:bCs w:val="0"/>
                <w:snapToGrid w:val="0"/>
                <w:sz w:val="24"/>
                <w:szCs w:val="24"/>
                <w:lang w:val="en-US" w:eastAsia="zh-CN"/>
              </w:rPr>
              <w:t>规程的目录清单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64</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潮州市消防救援支队枫溪区大队</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公众聚集场所投入使用、营业前消防安全检查（告知承诺件）</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公众聚集场所投入使用、营业消防安全告知承诺书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295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65</w:t>
            </w:r>
          </w:p>
        </w:tc>
        <w:tc>
          <w:tcPr>
            <w:tcW w:w="133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国家税务总局潮州市枫溪区税务局</w:t>
            </w:r>
          </w:p>
        </w:tc>
        <w:tc>
          <w:tcPr>
            <w:tcW w:w="295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居民企业（查账征收）企业所得税年度申报</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本企业及其直接或间接控制的外国企业在境外所获免税及减税的依据及证明或有关审计报告披露该企业享受的优惠政策的复印件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vMerge w:val="continue"/>
            <w:shd w:val="clear" w:color="auto" w:fill="FFFFFF"/>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val="0"/>
                <w:bCs w:val="0"/>
                <w:snapToGrid w:val="0"/>
                <w:sz w:val="24"/>
                <w:szCs w:val="24"/>
                <w:lang w:val="en-US" w:eastAsia="zh-CN"/>
              </w:rPr>
            </w:pPr>
          </w:p>
        </w:tc>
        <w:tc>
          <w:tcPr>
            <w:tcW w:w="1335"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2950" w:type="dxa"/>
            <w:vMerge w:val="continue"/>
            <w:shd w:val="clear" w:color="auto" w:fill="FFFFFF"/>
            <w:vAlign w:val="top"/>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具有资质的机构出具的有关分支机构审计报告等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jc w:val="center"/>
        </w:trPr>
        <w:tc>
          <w:tcPr>
            <w:tcW w:w="79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66</w:t>
            </w:r>
          </w:p>
        </w:tc>
        <w:tc>
          <w:tcPr>
            <w:tcW w:w="13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国家税务总局潮州市枫溪区税务局</w:t>
            </w:r>
          </w:p>
        </w:tc>
        <w:tc>
          <w:tcPr>
            <w:tcW w:w="295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非居民企业股权转让适用特殊性税务处理的备案</w:t>
            </w:r>
          </w:p>
        </w:tc>
        <w:tc>
          <w:tcPr>
            <w:tcW w:w="383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工商等有关部门核准企业股权变更事项证明资料</w:t>
            </w:r>
          </w:p>
        </w:tc>
      </w:tr>
    </w:tbl>
    <w:p>
      <w:pPr>
        <w:snapToGrid w:val="0"/>
        <w:ind w:firstLine="280" w:firstLineChars="100"/>
        <w:rPr>
          <w:rFonts w:ascii="仿宋" w:hAnsi="仿宋" w:eastAsia="仿宋" w:cs="仿宋"/>
          <w:sz w:val="28"/>
          <w:szCs w:val="28"/>
        </w:rPr>
      </w:pPr>
    </w:p>
    <w:p>
      <w:pPr>
        <w:snapToGrid w:val="0"/>
        <w:ind w:firstLine="480" w:firstLineChars="200"/>
        <w:rPr>
          <w:rFonts w:ascii="仿宋" w:hAnsi="仿宋" w:eastAsia="仿宋" w:cs="仿宋"/>
          <w:sz w:val="24"/>
          <w:szCs w:val="24"/>
        </w:rPr>
      </w:pPr>
      <w:r>
        <w:rPr>
          <w:rFonts w:hint="eastAsia" w:ascii="仿宋" w:hAnsi="仿宋" w:eastAsia="仿宋" w:cs="仿宋"/>
          <w:sz w:val="24"/>
          <w:szCs w:val="24"/>
        </w:rPr>
        <w:t>备注：告知承诺是指申请人向审批部门申请审批服务，审批部门一次性告知其审批条件和需要提交的材料，在部分材料缺件的情况下，申请人以书面形式承诺其符合审批条件，由审批部门作出审批服务决定的方式。</w:t>
      </w:r>
    </w:p>
    <w:sectPr>
      <w:pgSz w:w="11906" w:h="16838"/>
      <w:pgMar w:top="1701" w:right="1531" w:bottom="1587" w:left="1531" w:header="851" w:footer="992" w:gutter="0"/>
      <w:cols w:space="0" w:num="1"/>
      <w:docGrid w:type="lines"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884"/>
  <w:drawingGridVerticalSpacing w:val="20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284E"/>
    <w:rsid w:val="007439DB"/>
    <w:rsid w:val="00CF038E"/>
    <w:rsid w:val="00DD6A79"/>
    <w:rsid w:val="00F174EC"/>
    <w:rsid w:val="00F433B7"/>
    <w:rsid w:val="02CD0C77"/>
    <w:rsid w:val="042C14E9"/>
    <w:rsid w:val="044518B3"/>
    <w:rsid w:val="064F5BCF"/>
    <w:rsid w:val="06B72B96"/>
    <w:rsid w:val="06DA2937"/>
    <w:rsid w:val="070072C5"/>
    <w:rsid w:val="075E7800"/>
    <w:rsid w:val="0A0D7249"/>
    <w:rsid w:val="0A796F63"/>
    <w:rsid w:val="0B752237"/>
    <w:rsid w:val="0CBC7BF1"/>
    <w:rsid w:val="0CFB562C"/>
    <w:rsid w:val="0D167589"/>
    <w:rsid w:val="10793119"/>
    <w:rsid w:val="10C00E40"/>
    <w:rsid w:val="11312FBC"/>
    <w:rsid w:val="12106592"/>
    <w:rsid w:val="12AE4648"/>
    <w:rsid w:val="13C96EAB"/>
    <w:rsid w:val="14B6392B"/>
    <w:rsid w:val="154E473C"/>
    <w:rsid w:val="15822314"/>
    <w:rsid w:val="16F30481"/>
    <w:rsid w:val="183E442D"/>
    <w:rsid w:val="1A8149D2"/>
    <w:rsid w:val="1AFD30E5"/>
    <w:rsid w:val="1C3E276A"/>
    <w:rsid w:val="1C4D2736"/>
    <w:rsid w:val="20C14AF7"/>
    <w:rsid w:val="21532AC8"/>
    <w:rsid w:val="217533B1"/>
    <w:rsid w:val="23166E2E"/>
    <w:rsid w:val="23B7297A"/>
    <w:rsid w:val="24302C54"/>
    <w:rsid w:val="248E4490"/>
    <w:rsid w:val="24AF79D3"/>
    <w:rsid w:val="273D67EF"/>
    <w:rsid w:val="2BF55446"/>
    <w:rsid w:val="2CBC7368"/>
    <w:rsid w:val="2CDD7C84"/>
    <w:rsid w:val="2D747F1E"/>
    <w:rsid w:val="2E0E0F42"/>
    <w:rsid w:val="2ED67366"/>
    <w:rsid w:val="2F1C0C7C"/>
    <w:rsid w:val="2F2A5D8E"/>
    <w:rsid w:val="2F46538E"/>
    <w:rsid w:val="30BD78BA"/>
    <w:rsid w:val="30DA1F57"/>
    <w:rsid w:val="317C62D9"/>
    <w:rsid w:val="31895E61"/>
    <w:rsid w:val="31F930B1"/>
    <w:rsid w:val="3255122B"/>
    <w:rsid w:val="340952F8"/>
    <w:rsid w:val="351B0366"/>
    <w:rsid w:val="351F7182"/>
    <w:rsid w:val="35324076"/>
    <w:rsid w:val="35B20AB3"/>
    <w:rsid w:val="36486A31"/>
    <w:rsid w:val="3663797B"/>
    <w:rsid w:val="37B9286A"/>
    <w:rsid w:val="385704C0"/>
    <w:rsid w:val="38D85BBB"/>
    <w:rsid w:val="39F50261"/>
    <w:rsid w:val="3A571278"/>
    <w:rsid w:val="3AC24621"/>
    <w:rsid w:val="3C5D3EEB"/>
    <w:rsid w:val="3E9350BB"/>
    <w:rsid w:val="3F2D5D38"/>
    <w:rsid w:val="40B16D1E"/>
    <w:rsid w:val="415F0947"/>
    <w:rsid w:val="41814E34"/>
    <w:rsid w:val="419E207B"/>
    <w:rsid w:val="426232EB"/>
    <w:rsid w:val="432927A6"/>
    <w:rsid w:val="43951F1D"/>
    <w:rsid w:val="450B4F6C"/>
    <w:rsid w:val="473E48F4"/>
    <w:rsid w:val="48C53E2C"/>
    <w:rsid w:val="491B1B67"/>
    <w:rsid w:val="4944663C"/>
    <w:rsid w:val="4ADA28D7"/>
    <w:rsid w:val="4B8623D2"/>
    <w:rsid w:val="4C9E1D80"/>
    <w:rsid w:val="4D354D15"/>
    <w:rsid w:val="4DE4315D"/>
    <w:rsid w:val="4E1644BE"/>
    <w:rsid w:val="4EF26ED5"/>
    <w:rsid w:val="50F66F30"/>
    <w:rsid w:val="516A483A"/>
    <w:rsid w:val="52076F75"/>
    <w:rsid w:val="535E0C61"/>
    <w:rsid w:val="551A5F45"/>
    <w:rsid w:val="55B35F66"/>
    <w:rsid w:val="565166C7"/>
    <w:rsid w:val="56B10551"/>
    <w:rsid w:val="57110B10"/>
    <w:rsid w:val="575500E7"/>
    <w:rsid w:val="59A03CB9"/>
    <w:rsid w:val="59BC3F80"/>
    <w:rsid w:val="5A7144BD"/>
    <w:rsid w:val="5B9A7CFB"/>
    <w:rsid w:val="5D182EA9"/>
    <w:rsid w:val="5DAED912"/>
    <w:rsid w:val="5DF8472F"/>
    <w:rsid w:val="5E9813A7"/>
    <w:rsid w:val="5F4529E0"/>
    <w:rsid w:val="5FAA3375"/>
    <w:rsid w:val="5FAE5A8B"/>
    <w:rsid w:val="61C0346A"/>
    <w:rsid w:val="625829AC"/>
    <w:rsid w:val="62E2754B"/>
    <w:rsid w:val="6388135F"/>
    <w:rsid w:val="63A86A31"/>
    <w:rsid w:val="64750CCA"/>
    <w:rsid w:val="64932D90"/>
    <w:rsid w:val="6565275C"/>
    <w:rsid w:val="66334727"/>
    <w:rsid w:val="66707AC5"/>
    <w:rsid w:val="66B23E6C"/>
    <w:rsid w:val="67841670"/>
    <w:rsid w:val="67E576DC"/>
    <w:rsid w:val="685A2148"/>
    <w:rsid w:val="685E36DF"/>
    <w:rsid w:val="68EF1AF2"/>
    <w:rsid w:val="68FF33E1"/>
    <w:rsid w:val="693C4406"/>
    <w:rsid w:val="6A1E14CF"/>
    <w:rsid w:val="6A4E7576"/>
    <w:rsid w:val="6A576049"/>
    <w:rsid w:val="6B7858AE"/>
    <w:rsid w:val="6C2C3F49"/>
    <w:rsid w:val="6C3935BD"/>
    <w:rsid w:val="6CC05659"/>
    <w:rsid w:val="6E9F0F95"/>
    <w:rsid w:val="6F3416DC"/>
    <w:rsid w:val="6F840452"/>
    <w:rsid w:val="70AB16F2"/>
    <w:rsid w:val="70AC1D11"/>
    <w:rsid w:val="70C34EC7"/>
    <w:rsid w:val="713D73E1"/>
    <w:rsid w:val="718B6A2E"/>
    <w:rsid w:val="71A820E2"/>
    <w:rsid w:val="71A8210A"/>
    <w:rsid w:val="72031AB3"/>
    <w:rsid w:val="723B3936"/>
    <w:rsid w:val="73560A39"/>
    <w:rsid w:val="7454236B"/>
    <w:rsid w:val="78776755"/>
    <w:rsid w:val="7A304E2E"/>
    <w:rsid w:val="7B4E7481"/>
    <w:rsid w:val="7D441A41"/>
    <w:rsid w:val="7EC47023"/>
    <w:rsid w:val="7EC937E1"/>
    <w:rsid w:val="7F0E67B3"/>
    <w:rsid w:val="7F68488F"/>
    <w:rsid w:val="7F9E6D77"/>
    <w:rsid w:val="7FF4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0"/>
      <w:szCs w:val="30"/>
      <w:lang w:val="en-US" w:eastAsia="zh-CN" w:bidi="ar-SA"/>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eastAsia="仿宋_GB2312"/>
      <w:color w:val="000000" w:themeColor="text1"/>
      <w:kern w:val="2"/>
      <w:sz w:val="32"/>
      <w14:textFill>
        <w14:solidFill>
          <w14:schemeClr w14:val="tx1"/>
        </w14:solidFill>
      </w14:textFill>
    </w:rPr>
  </w:style>
  <w:style w:type="paragraph" w:styleId="3">
    <w:name w:val="Title"/>
    <w:basedOn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10"/>
    <w:link w:val="6"/>
    <w:qFormat/>
    <w:uiPriority w:val="0"/>
    <w:rPr>
      <w:rFonts w:asciiTheme="minorHAnsi" w:hAnsiTheme="minorHAnsi" w:eastAsiaTheme="minorEastAsia" w:cstheme="minorBidi"/>
      <w:kern w:val="2"/>
      <w:sz w:val="18"/>
      <w:szCs w:val="18"/>
    </w:rPr>
  </w:style>
  <w:style w:type="character" w:customStyle="1" w:styleId="12">
    <w:name w:val="页脚 字符"/>
    <w:basedOn w:val="10"/>
    <w:link w:val="5"/>
    <w:qFormat/>
    <w:uiPriority w:val="0"/>
    <w:rPr>
      <w:rFonts w:asciiTheme="minorHAnsi" w:hAnsiTheme="minorHAnsi" w:eastAsiaTheme="minorEastAsia" w:cstheme="minorBidi"/>
      <w:kern w:val="2"/>
      <w:sz w:val="18"/>
      <w:szCs w:val="18"/>
    </w:rPr>
  </w:style>
  <w:style w:type="character" w:customStyle="1" w:styleId="13">
    <w:name w:val="font21"/>
    <w:basedOn w:val="10"/>
    <w:qFormat/>
    <w:uiPriority w:val="0"/>
    <w:rPr>
      <w:rFonts w:hint="eastAsia" w:ascii="仿宋_GB2312" w:eastAsia="仿宋_GB2312" w:cs="仿宋_GB2312"/>
      <w:color w:val="000000"/>
      <w:sz w:val="20"/>
      <w:szCs w:val="20"/>
      <w:u w:val="none"/>
    </w:rPr>
  </w:style>
  <w:style w:type="character" w:customStyle="1" w:styleId="14">
    <w:name w:val="font0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2</Pages>
  <Words>88</Words>
  <Characters>505</Characters>
  <Lines>4</Lines>
  <Paragraphs>1</Paragraphs>
  <TotalTime>5</TotalTime>
  <ScaleCrop>false</ScaleCrop>
  <LinksUpToDate>false</LinksUpToDate>
  <CharactersWithSpaces>592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2021-09-11T22:46:00Z</dcterms:created>
  <dc:creator>dengd</dc:creator>
  <cp:lastModifiedBy>cn</cp:lastModifiedBy>
  <cp:lastPrinted>2020-06-29T15:27:00Z</cp:lastPrinted>
  <dcterms:modified xsi:type="dcterms:W3CDTF">2021-10-27T01:29:37Z</dcterms:modified>
  <dc:title>潮州市政务服务“告知承诺”事项清单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47ED198929B3486FA7CA6E8624E6DFB3</vt:lpwstr>
  </property>
</Properties>
</file>