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single"/>
          <w:lang w:val="en-US" w:eastAsia="zh-CN" w:bidi="ar"/>
        </w:rPr>
        <w:t xml:space="preserve"> 潮州 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市病毒采样管 14 位统一标识编码唯一机构编码表</w:t>
      </w:r>
    </w:p>
    <w:tbl>
      <w:tblPr>
        <w:tblStyle w:val="4"/>
        <w:tblW w:w="148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975"/>
        <w:gridCol w:w="924"/>
        <w:gridCol w:w="3026"/>
        <w:gridCol w:w="3105"/>
        <w:gridCol w:w="2655"/>
        <w:gridCol w:w="2445"/>
        <w:gridCol w:w="11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地市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行政区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检测机构名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称</w:t>
            </w:r>
          </w:p>
          <w:p>
            <w:pPr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全国医疗机构注册</w:t>
            </w:r>
          </w:p>
          <w:p>
            <w:pPr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联网管理系统名称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机构类别（综合医院、中医及中西医结合医院、专科医院、妇幼保健院/中心、疾病预防控制中心、第三方检测机构）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机构级别（一级、二级、三级、未定级、疾病预防控制中心、独立设置医学检验室）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lang w:bidi="ar"/>
              </w:rPr>
              <w:t>检测机构唯一编码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湘桥区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潮州市中心医院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潮州市中心医院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napToGrid w:val="0"/>
                <w:sz w:val="24"/>
                <w:szCs w:val="24"/>
                <w:highlight w:val="none"/>
                <w:lang w:eastAsia="zh-CN"/>
              </w:rPr>
              <w:t>综合医院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napToGrid w:val="0"/>
                <w:sz w:val="24"/>
                <w:szCs w:val="24"/>
                <w:highlight w:val="none"/>
                <w:lang w:eastAsia="zh-CN"/>
              </w:rPr>
              <w:t>三级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19301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湘桥区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潮州市人民医院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napToGrid w:val="0"/>
                <w:sz w:val="24"/>
                <w:szCs w:val="24"/>
                <w:highlight w:val="none"/>
                <w:lang w:eastAsia="zh-CN"/>
              </w:rPr>
              <w:t>综合医院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napToGrid w:val="0"/>
                <w:sz w:val="24"/>
                <w:szCs w:val="24"/>
                <w:highlight w:val="none"/>
                <w:lang w:eastAsia="zh-CN"/>
              </w:rPr>
              <w:t>三级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19302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潮安区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潮州市潮安区人民医院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潮州市潮安区人民医院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综合医院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二级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19201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潮安区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潮州市潮安区庵埠华侨医院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潮州市潮安区庵埠华侨医院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综合医院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二级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19202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饶平县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 xml:space="preserve">暨南大学附属第一医院潮汕医院（饶平县人民医院） </w:t>
            </w:r>
          </w:p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 xml:space="preserve">暨南大学附属第一医院潮汕医院（饶平县人民医院） </w:t>
            </w:r>
          </w:p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综合医院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二级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19203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湘桥区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潮州市湘桥区人民医院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潮州市湘桥区人民医院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综合医院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二级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19204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潮安区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潮州北斗肿瘤康复医院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潮州北斗肿瘤康复医院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综合医院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二级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19205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湘桥区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潮州市疾病预防控制中心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潮州市疾病预防控制中心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疾病预防控制中心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疾病预防控制中心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19501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潮安区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潮安区疾病预防控制中心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潮安区疾病预防控制中心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疾病预防控制中心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疾病预防控制中心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19601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饶平县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饶平县疾病预防控制中心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饶平县疾病预防控制中心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疾病预防控制中心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疾病预防控制中心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19602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潮州市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湘桥区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潮州凯普医学检验实验室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eastAsia="zh-CN" w:bidi="ar"/>
              </w:rPr>
              <w:t>潮州凯普医学检验实验室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第三方检测机构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独立设置医学检验室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highlight w:val="none"/>
                <w:lang w:val="en-US" w:eastAsia="zh-CN" w:bidi="ar"/>
              </w:rPr>
              <w:t>19701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/>
          <w:sz w:val="24"/>
          <w:szCs w:val="24"/>
          <w:highlight w:val="none"/>
          <w:lang w:eastAsia="zh-CN"/>
        </w:rPr>
      </w:pPr>
      <w:r>
        <w:rPr>
          <w:rFonts w:hint="eastAsia" w:cs="Times New Roman"/>
          <w:b/>
          <w:bCs/>
          <w:sz w:val="24"/>
          <w:szCs w:val="24"/>
          <w:highlight w:val="none"/>
          <w:lang w:val="en-US" w:eastAsia="zh-CN"/>
        </w:rPr>
        <w:t>1.</w:t>
      </w:r>
      <w:r>
        <w:rPr>
          <w:rFonts w:hint="default" w:cs="Times New Roman"/>
          <w:b/>
          <w:bCs/>
          <w:sz w:val="24"/>
          <w:szCs w:val="24"/>
          <w:highlight w:val="none"/>
          <w:lang w:eastAsia="zh-CN"/>
        </w:rPr>
        <w:t>第一至二位</w:t>
      </w:r>
      <w:r>
        <w:rPr>
          <w:rFonts w:hint="default" w:cs="Times New Roman"/>
          <w:sz w:val="24"/>
          <w:szCs w:val="24"/>
          <w:highlight w:val="none"/>
          <w:lang w:eastAsia="zh-CN"/>
        </w:rPr>
        <w:t>：检测机构所在属地代码。</w:t>
      </w:r>
      <w:r>
        <w:rPr>
          <w:rFonts w:hint="default" w:cs="Times New Roman"/>
          <w:sz w:val="24"/>
          <w:szCs w:val="24"/>
          <w:highlight w:val="none"/>
          <w:lang w:val="en-US" w:eastAsia="zh-CN"/>
        </w:rPr>
        <w:t>使用广东省行政区划代码中的地市代码</w:t>
      </w:r>
      <w:r>
        <w:rPr>
          <w:rFonts w:hint="default" w:cs="Times New Roman"/>
          <w:sz w:val="24"/>
          <w:szCs w:val="24"/>
          <w:highlight w:val="none"/>
          <w:lang w:eastAsia="zh-CN"/>
        </w:rPr>
        <w:t>19为潮州。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/>
          <w:sz w:val="24"/>
          <w:szCs w:val="24"/>
          <w:highlight w:val="none"/>
          <w:lang w:eastAsia="zh-CN"/>
        </w:rPr>
      </w:pPr>
      <w:r>
        <w:rPr>
          <w:rFonts w:hint="default" w:cs="Times New Roman"/>
          <w:b/>
          <w:bCs/>
          <w:sz w:val="24"/>
          <w:szCs w:val="24"/>
          <w:highlight w:val="none"/>
          <w:lang w:eastAsia="zh-CN"/>
        </w:rPr>
        <w:t>2</w:t>
      </w:r>
      <w:r>
        <w:rPr>
          <w:rFonts w:hint="eastAsia" w:cs="Times New Roman"/>
          <w:b/>
          <w:bCs/>
          <w:sz w:val="24"/>
          <w:szCs w:val="24"/>
          <w:highlight w:val="none"/>
          <w:lang w:eastAsia="zh-CN"/>
        </w:rPr>
        <w:t>.</w:t>
      </w:r>
      <w:r>
        <w:rPr>
          <w:rFonts w:hint="default" w:cs="Times New Roman"/>
          <w:b/>
          <w:bCs/>
          <w:sz w:val="24"/>
          <w:szCs w:val="24"/>
          <w:highlight w:val="none"/>
          <w:lang w:eastAsia="zh-CN"/>
        </w:rPr>
        <w:t>第三位：</w:t>
      </w:r>
      <w:r>
        <w:rPr>
          <w:rFonts w:hint="default" w:cs="Times New Roman"/>
          <w:sz w:val="24"/>
          <w:szCs w:val="24"/>
          <w:highlight w:val="none"/>
          <w:lang w:eastAsia="zh-CN"/>
        </w:rPr>
        <w:t>检测机构性质代码，由其所在地级以上市卫生健康行政部门负责定义并赋码。编码值1-4（即1、2、3、4）为各级各类</w:t>
      </w:r>
      <w:r>
        <w:rPr>
          <w:rFonts w:hint="default" w:cs="Times New Roman"/>
          <w:sz w:val="24"/>
          <w:szCs w:val="24"/>
          <w:highlight w:val="none"/>
          <w:lang w:val="en-US" w:eastAsia="zh-CN"/>
        </w:rPr>
        <w:t>具有核酸检测能力的</w:t>
      </w:r>
      <w:r>
        <w:rPr>
          <w:rFonts w:hint="default" w:cs="Times New Roman"/>
          <w:sz w:val="24"/>
          <w:szCs w:val="24"/>
          <w:highlight w:val="none"/>
          <w:lang w:eastAsia="zh-CN"/>
        </w:rPr>
        <w:t>医院编码字段（</w:t>
      </w:r>
      <w:r>
        <w:rPr>
          <w:rFonts w:hint="default" w:cs="Times New Roman"/>
          <w:sz w:val="24"/>
          <w:szCs w:val="24"/>
          <w:highlight w:val="none"/>
          <w:lang w:val="en-US" w:eastAsia="zh-CN"/>
        </w:rPr>
        <w:t>建议按</w:t>
      </w:r>
      <w:r>
        <w:rPr>
          <w:rFonts w:hint="default" w:cs="Times New Roman"/>
          <w:sz w:val="24"/>
          <w:szCs w:val="24"/>
          <w:highlight w:val="none"/>
          <w:lang w:eastAsia="zh-CN"/>
        </w:rPr>
        <w:t>1为一级医院，2为二级医院，3为三级医院，4为其他医院）、编码值5-6（即5、6）为各级疾控机构编码字段（建议</w:t>
      </w:r>
      <w:r>
        <w:rPr>
          <w:rFonts w:hint="default" w:cs="Times New Roman"/>
          <w:sz w:val="24"/>
          <w:szCs w:val="24"/>
          <w:highlight w:val="none"/>
          <w:lang w:val="en-US" w:eastAsia="zh-CN"/>
        </w:rPr>
        <w:t>5为市级疾控中心、6为县、区级疾控中心</w:t>
      </w:r>
      <w:r>
        <w:rPr>
          <w:rFonts w:hint="default" w:cs="Times New Roman"/>
          <w:sz w:val="24"/>
          <w:szCs w:val="24"/>
          <w:highlight w:val="none"/>
          <w:lang w:eastAsia="zh-CN"/>
        </w:rPr>
        <w:t>）、编码值7-9（即7、8、9）为各类第三方检测机构编码字段。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/>
          <w:sz w:val="24"/>
          <w:szCs w:val="24"/>
          <w:highlight w:val="none"/>
          <w:lang w:eastAsia="zh-CN"/>
        </w:rPr>
      </w:pPr>
      <w:r>
        <w:rPr>
          <w:rFonts w:hint="default" w:cs="Times New Roman"/>
          <w:b/>
          <w:bCs/>
          <w:sz w:val="24"/>
          <w:szCs w:val="24"/>
          <w:highlight w:val="none"/>
          <w:lang w:eastAsia="zh-CN"/>
        </w:rPr>
        <w:t>3</w:t>
      </w:r>
      <w:r>
        <w:rPr>
          <w:rFonts w:hint="eastAsia" w:cs="Times New Roman"/>
          <w:b/>
          <w:bCs/>
          <w:sz w:val="24"/>
          <w:szCs w:val="24"/>
          <w:highlight w:val="none"/>
          <w:lang w:eastAsia="zh-CN"/>
        </w:rPr>
        <w:t>.</w:t>
      </w:r>
      <w:r>
        <w:rPr>
          <w:rFonts w:hint="default" w:cs="Times New Roman"/>
          <w:b/>
          <w:bCs/>
          <w:sz w:val="24"/>
          <w:szCs w:val="24"/>
          <w:highlight w:val="none"/>
          <w:lang w:eastAsia="zh-CN"/>
        </w:rPr>
        <w:t>第四至五位：</w:t>
      </w:r>
      <w:r>
        <w:rPr>
          <w:rFonts w:hint="default" w:cs="Times New Roman"/>
          <w:sz w:val="24"/>
          <w:szCs w:val="24"/>
          <w:highlight w:val="none"/>
          <w:lang w:eastAsia="zh-CN"/>
        </w:rPr>
        <w:t>检测机构代码，是每个检测机构的唯一代码，由检测机构所在地级以上市卫生健康行政部门负责定义并赋码。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default" w:cs="Times New Roman"/>
          <w:b/>
          <w:bCs/>
          <w:sz w:val="24"/>
          <w:szCs w:val="24"/>
          <w:highlight w:val="none"/>
          <w:lang w:eastAsia="zh-CN"/>
        </w:rPr>
        <w:t>4</w:t>
      </w:r>
      <w:r>
        <w:rPr>
          <w:rFonts w:hint="eastAsia" w:cs="Times New Roman"/>
          <w:b/>
          <w:bCs/>
          <w:sz w:val="24"/>
          <w:szCs w:val="24"/>
          <w:highlight w:val="none"/>
          <w:lang w:eastAsia="zh-CN"/>
        </w:rPr>
        <w:t>.</w:t>
      </w:r>
      <w:r>
        <w:rPr>
          <w:rFonts w:hint="default" w:cs="Times New Roman"/>
          <w:b/>
          <w:bCs/>
          <w:sz w:val="24"/>
          <w:szCs w:val="24"/>
          <w:highlight w:val="none"/>
          <w:lang w:eastAsia="zh-CN"/>
        </w:rPr>
        <w:t>第六至十四位：</w:t>
      </w:r>
      <w:r>
        <w:rPr>
          <w:rFonts w:hint="default" w:cs="Times New Roman"/>
          <w:sz w:val="24"/>
          <w:szCs w:val="24"/>
          <w:highlight w:val="none"/>
          <w:lang w:eastAsia="zh-CN"/>
        </w:rPr>
        <w:t>核酸检测样本唯一编号，按</w:t>
      </w:r>
      <w:r>
        <w:rPr>
          <w:rFonts w:hint="default" w:cs="Times New Roman"/>
          <w:sz w:val="24"/>
          <w:szCs w:val="24"/>
          <w:highlight w:val="none"/>
          <w:lang w:val="en-US" w:eastAsia="zh-CN"/>
        </w:rPr>
        <w:t>最大</w:t>
      </w:r>
      <w:r>
        <w:rPr>
          <w:rFonts w:hint="default" w:cs="Times New Roman"/>
          <w:sz w:val="24"/>
          <w:szCs w:val="24"/>
          <w:highlight w:val="none"/>
          <w:lang w:eastAsia="zh-CN"/>
        </w:rPr>
        <w:t>检测量为1,</w:t>
      </w:r>
      <w:r>
        <w:rPr>
          <w:rFonts w:hint="default" w:cs="Times New Roman"/>
          <w:sz w:val="24"/>
          <w:szCs w:val="24"/>
          <w:highlight w:val="none"/>
          <w:lang w:val="en-US" w:eastAsia="zh-CN"/>
        </w:rPr>
        <w:t>0</w:t>
      </w:r>
      <w:r>
        <w:rPr>
          <w:rFonts w:hint="default" w:cs="Times New Roman"/>
          <w:sz w:val="24"/>
          <w:szCs w:val="24"/>
          <w:highlight w:val="none"/>
          <w:lang w:eastAsia="zh-CN"/>
        </w:rPr>
        <w:t>00,000,000管设计，由各检测机构自行定义编码规则，</w:t>
      </w:r>
      <w:r>
        <w:rPr>
          <w:rFonts w:hint="default" w:cs="Times New Roman"/>
          <w:sz w:val="24"/>
          <w:szCs w:val="24"/>
          <w:highlight w:val="none"/>
          <w:lang w:val="en-US" w:eastAsia="zh-CN"/>
        </w:rPr>
        <w:t>可根据实际工作情况设计校验位等字段，降低错误识别率。</w:t>
      </w:r>
      <w:r>
        <w:rPr>
          <w:rFonts w:hint="default" w:cs="Times New Roman"/>
          <w:sz w:val="24"/>
          <w:szCs w:val="24"/>
          <w:highlight w:val="none"/>
          <w:lang w:eastAsia="zh-CN"/>
        </w:rPr>
        <w:t>保证每管唯一编码，</w:t>
      </w:r>
      <w:r>
        <w:rPr>
          <w:rFonts w:hint="default" w:cs="Times New Roman"/>
          <w:sz w:val="24"/>
          <w:szCs w:val="24"/>
          <w:highlight w:val="none"/>
          <w:lang w:val="en-US" w:eastAsia="zh-CN"/>
        </w:rPr>
        <w:t>定期（至少一年）或超过最大量时清零重新计数</w:t>
      </w:r>
      <w:r>
        <w:rPr>
          <w:rFonts w:hint="eastAsia" w:cs="Times New Roman"/>
          <w:sz w:val="24"/>
          <w:szCs w:val="24"/>
          <w:highlight w:val="none"/>
          <w:lang w:val="en-US" w:eastAsia="zh-CN"/>
        </w:rPr>
        <w:t>。</w:t>
      </w:r>
    </w:p>
    <w:p>
      <w:pPr>
        <w:rPr>
          <w:rFonts w:hint="default"/>
        </w:rPr>
      </w:pPr>
    </w:p>
    <w:p>
      <w:pPr>
        <w:numPr>
          <w:ilvl w:val="0"/>
          <w:numId w:val="0"/>
        </w:num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5D6F"/>
    <w:rsid w:val="011F18AB"/>
    <w:rsid w:val="0887032F"/>
    <w:rsid w:val="17033577"/>
    <w:rsid w:val="199A5D6F"/>
    <w:rsid w:val="1A864316"/>
    <w:rsid w:val="1DCF1ABD"/>
    <w:rsid w:val="1E4F65DB"/>
    <w:rsid w:val="22243397"/>
    <w:rsid w:val="29B163D0"/>
    <w:rsid w:val="2AF434AB"/>
    <w:rsid w:val="34440FFF"/>
    <w:rsid w:val="3E681D8E"/>
    <w:rsid w:val="424E3930"/>
    <w:rsid w:val="48484E6E"/>
    <w:rsid w:val="55CC4FF8"/>
    <w:rsid w:val="5B2B3497"/>
    <w:rsid w:val="607204A6"/>
    <w:rsid w:val="621F4FC9"/>
    <w:rsid w:val="701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Times New Roman" w:hAnsi="Times New Roman" w:cs="Times New Roman"/>
      <w:kern w:val="2"/>
      <w:sz w:val="21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2021-08-31T07:27:00Z</dcterms:created>
  <dc:creator>小正✔</dc:creator>
  <cp:lastModifiedBy>小正✔</cp:lastModifiedBy>
  <cp:lastPrinted>2021-09-29T03:03:50Z</cp:lastPrinted>
  <dcterms:modified xsi:type="dcterms:W3CDTF">2021-09-29T03:09:16Z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B56FF21877284C2B80442F3617AB5B40</vt:lpwstr>
  </property>
</Properties>
</file>