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稳岗返还企业填报指引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登录系统</w:t>
      </w:r>
    </w:p>
    <w:p>
      <w:pPr>
        <w:pStyle w:val="1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已注册“广东省人力资源和社会保障厅网上服务平台”账号的企业可以直接登录企业稳岗返还申报系统（如下图），系统登录地址：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https://ggfw.gdhrss.gov.cn/WGSQ#/</w:t>
      </w:r>
    </w:p>
    <w:p>
      <w:pPr>
        <w:pStyle w:val="10"/>
        <w:spacing w:line="360" w:lineRule="auto"/>
      </w:pPr>
      <w:r>
        <w:drawing>
          <wp:inline distT="0" distB="0" distL="114300" distR="114300">
            <wp:extent cx="5264785" cy="2081530"/>
            <wp:effectExtent l="0" t="0" r="1206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pStyle w:val="10"/>
        <w:numPr>
          <w:ilvl w:val="0"/>
          <w:numId w:val="2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若企业尚未注册“广东省人力资源和社会保障厅网上服务平台”账号，则需先完成企业账号注册，详细的注册指引见：</w:t>
      </w:r>
      <w:r>
        <w:fldChar w:fldCharType="begin"/>
      </w:r>
      <w:r>
        <w:instrText xml:space="preserve"> HYPERLINK "http://ggfw.gdhrss.gov.cn/ssologin/html/unit.html" </w:instrText>
      </w:r>
      <w:r>
        <w:fldChar w:fldCharType="separate"/>
      </w:r>
      <w:r>
        <w:rPr>
          <w:rFonts w:hint="eastAsia"/>
          <w:color w:val="FF0000"/>
        </w:rPr>
        <w:t>http://ggfw.gdhrss.gov.cn/ssologin/html/unit.html</w:t>
      </w:r>
      <w:r>
        <w:rPr>
          <w:rFonts w:hint="eastAsia"/>
          <w:color w:val="FF0000"/>
        </w:rPr>
        <w:fldChar w:fldCharType="end"/>
      </w:r>
      <w:r>
        <w:rPr>
          <w:rFonts w:hint="eastAsia"/>
          <w:color w:val="FF0000"/>
        </w:rPr>
        <w:t>。</w:t>
      </w:r>
    </w:p>
    <w:p>
      <w:pPr>
        <w:pStyle w:val="10"/>
        <w:numPr>
          <w:ilvl w:val="0"/>
          <w:numId w:val="2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企业注册时“证件类型”必须选择“统一社会信用代码”，并正确填写企业统一社会信用代码，否则会影响后续稳岗返还业务办理。</w:t>
      </w:r>
    </w:p>
    <w:p>
      <w:pPr>
        <w:pStyle w:val="10"/>
        <w:numPr>
          <w:ilvl w:val="0"/>
          <w:numId w:val="2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若已注册的企业账号，但注册时选择的证件类型非“统一社会信用代码”，则需联系当地主管部门变更账号信息。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企业稳岗返还填报</w:t>
      </w:r>
    </w:p>
    <w:p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选择事项并阅读承诺说明</w:t>
      </w:r>
    </w:p>
    <w:p>
      <w:pPr>
        <w:spacing w:line="360" w:lineRule="auto"/>
        <w:rPr>
          <w:color w:val="FF0000"/>
        </w:rPr>
      </w:pPr>
      <w:r>
        <w:drawing>
          <wp:inline distT="0" distB="0" distL="114300" distR="114300">
            <wp:extent cx="5271135" cy="2003425"/>
            <wp:effectExtent l="0" t="0" r="5715" b="158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72405" cy="2292350"/>
            <wp:effectExtent l="0" t="0" r="4445" b="127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spacing w:line="360" w:lineRule="auto"/>
        <w:jc w:val="left"/>
        <w:rPr>
          <w:color w:val="FF0000"/>
        </w:rPr>
      </w:pPr>
      <w:r>
        <w:rPr>
          <w:rFonts w:hint="eastAsia"/>
          <w:color w:val="FF0000"/>
        </w:rPr>
        <w:t>1、目前只能申报企业稳岗返还，受影响企业失业金返还暂未上线</w:t>
      </w:r>
    </w:p>
    <w:p>
      <w:pPr>
        <w:spacing w:line="360" w:lineRule="auto"/>
        <w:jc w:val="left"/>
      </w:pPr>
      <w:r>
        <w:rPr>
          <w:rFonts w:hint="eastAsia"/>
          <w:color w:val="FF0000"/>
        </w:rPr>
        <w:t>2、企业申报采用承诺制，企业必须同意声明内容后方可正常申报。</w:t>
      </w:r>
    </w:p>
    <w:p>
      <w:pPr>
        <w:jc w:val="left"/>
      </w:pPr>
    </w:p>
    <w:p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填写企业基本信息</w:t>
      </w:r>
    </w:p>
    <w:p>
      <w:pPr>
        <w:widowControl/>
        <w:jc w:val="left"/>
      </w:pPr>
      <w:r>
        <w:drawing>
          <wp:inline distT="0" distB="0" distL="114300" distR="114300">
            <wp:extent cx="5265420" cy="2645410"/>
            <wp:effectExtent l="0" t="0" r="11430" b="254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1、填报时，注意界面红色字体的填报指引。</w:t>
      </w:r>
    </w:p>
    <w:p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填写企业银行信息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3040" cy="1184910"/>
            <wp:effectExtent l="0" t="0" r="3810" b="1524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FF0000"/>
        </w:rPr>
      </w:pPr>
      <w:r>
        <w:rPr>
          <w:rFonts w:hint="eastAsia"/>
          <w:b/>
          <w:bCs/>
          <w:color w:val="FF0000"/>
        </w:rPr>
        <w:t>注意事项</w:t>
      </w:r>
      <w:r>
        <w:rPr>
          <w:rFonts w:hint="eastAsia"/>
          <w:color w:val="FF0000"/>
        </w:rPr>
        <w:t>：</w:t>
      </w:r>
    </w:p>
    <w:p>
      <w:pPr>
        <w:ind w:firstLine="231"/>
        <w:jc w:val="left"/>
        <w:rPr>
          <w:color w:val="FF0000"/>
        </w:rPr>
      </w:pPr>
      <w:r>
        <w:rPr>
          <w:rFonts w:hint="eastAsia"/>
          <w:color w:val="FF0000"/>
        </w:rPr>
        <w:t>1、开户银行必须与单位名称一致，不可修改。</w:t>
      </w:r>
    </w:p>
    <w:p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获取工商社保信息并提交</w:t>
      </w:r>
    </w:p>
    <w:p>
      <w:pPr>
        <w:jc w:val="left"/>
      </w:pPr>
      <w:r>
        <w:drawing>
          <wp:inline distT="0" distB="0" distL="114300" distR="114300">
            <wp:extent cx="5273675" cy="2135505"/>
            <wp:effectExtent l="0" t="0" r="3175" b="1714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注意事项：</w:t>
      </w:r>
    </w:p>
    <w:p>
      <w:pPr>
        <w:numPr>
          <w:ilvl w:val="0"/>
          <w:numId w:val="4"/>
        </w:numPr>
        <w:jc w:val="left"/>
        <w:rPr>
          <w:color w:val="FF0000"/>
        </w:rPr>
      </w:pPr>
      <w:r>
        <w:rPr>
          <w:rFonts w:hint="eastAsia"/>
          <w:color w:val="FF0000"/>
        </w:rPr>
        <w:t>若获取工商或社保信息失败，不允许提交。</w:t>
      </w:r>
    </w:p>
    <w:p>
      <w:pPr>
        <w:numPr>
          <w:ilvl w:val="0"/>
          <w:numId w:val="4"/>
        </w:num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获取的社保信息中，裁员率必须符合政策要求范围，否则不允许提交。</w:t>
      </w: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09023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DDB26"/>
    <w:multiLevelType w:val="singleLevel"/>
    <w:tmpl w:val="A36DDB2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DC5273"/>
    <w:multiLevelType w:val="singleLevel"/>
    <w:tmpl w:val="F8DC52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35879FE"/>
    <w:multiLevelType w:val="multilevel"/>
    <w:tmpl w:val="035879FE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EBE779"/>
    <w:multiLevelType w:val="singleLevel"/>
    <w:tmpl w:val="6DEBE7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6E"/>
    <w:rsid w:val="001C26C9"/>
    <w:rsid w:val="001E285B"/>
    <w:rsid w:val="002448B4"/>
    <w:rsid w:val="002766F2"/>
    <w:rsid w:val="00311EFE"/>
    <w:rsid w:val="00596FE1"/>
    <w:rsid w:val="005E6746"/>
    <w:rsid w:val="006F050D"/>
    <w:rsid w:val="007C74A5"/>
    <w:rsid w:val="007C79F3"/>
    <w:rsid w:val="00891C85"/>
    <w:rsid w:val="00962854"/>
    <w:rsid w:val="0098522C"/>
    <w:rsid w:val="00A0486E"/>
    <w:rsid w:val="00A85FD9"/>
    <w:rsid w:val="00B9508A"/>
    <w:rsid w:val="00BF7EDF"/>
    <w:rsid w:val="00C512B8"/>
    <w:rsid w:val="00D87D1C"/>
    <w:rsid w:val="00E046E7"/>
    <w:rsid w:val="00EA1969"/>
    <w:rsid w:val="04BF6833"/>
    <w:rsid w:val="08B20260"/>
    <w:rsid w:val="0FBE56FE"/>
    <w:rsid w:val="13E24945"/>
    <w:rsid w:val="1D24630C"/>
    <w:rsid w:val="2C3826AB"/>
    <w:rsid w:val="37F54DE0"/>
    <w:rsid w:val="3E5D626B"/>
    <w:rsid w:val="41FB27D8"/>
    <w:rsid w:val="437873D4"/>
    <w:rsid w:val="4A4F6AD5"/>
    <w:rsid w:val="5741517F"/>
    <w:rsid w:val="5B6364B7"/>
    <w:rsid w:val="63170426"/>
    <w:rsid w:val="74B909C7"/>
    <w:rsid w:val="752E3C6D"/>
    <w:rsid w:val="79392A3E"/>
    <w:rsid w:val="79F0582D"/>
    <w:rsid w:val="7A9872F8"/>
    <w:rsid w:val="7F8360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</Words>
  <Characters>576</Characters>
  <Lines>4</Lines>
  <Paragraphs>1</Paragraphs>
  <ScaleCrop>false</ScaleCrop>
  <LinksUpToDate>false</LinksUpToDate>
  <CharactersWithSpaces>676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2017-05-25T03:49:00Z</dcterms:created>
  <dc:creator>DINGYI</dc:creator>
  <cp:lastModifiedBy>lihb</cp:lastModifiedBy>
  <cp:lastPrinted>2021-08-25T01:56:04Z</cp:lastPrinted>
  <dcterms:modified xsi:type="dcterms:W3CDTF">2021-08-25T02:03:17Z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