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spacing w:before="0" w:beforeAutospacing="0" w:after="0" w:afterAutospacing="0" w:line="510" w:lineRule="atLeast"/>
        <w:jc w:val="center"/>
        <w:textAlignment w:val="baseline"/>
        <w:rPr>
          <w:rFonts w:hint="eastAsia" w:ascii="黑体" w:hAnsi="黑体" w:eastAsia="黑体" w:cs="方正小标宋简体"/>
          <w:b/>
          <w:i w:val="0"/>
          <w:caps w:val="0"/>
          <w:spacing w:val="0"/>
          <w:w w:val="100"/>
          <w:kern w:val="0"/>
          <w:sz w:val="44"/>
          <w:szCs w:val="44"/>
          <w:lang w:val="en-US" w:eastAsia="zh-CN" w:bidi="ar"/>
        </w:rPr>
      </w:pPr>
    </w:p>
    <w:p>
      <w:pPr>
        <w:widowControl/>
        <w:snapToGrid/>
        <w:spacing w:before="0" w:beforeAutospacing="0" w:after="0" w:afterAutospacing="0" w:line="510" w:lineRule="atLeast"/>
        <w:jc w:val="center"/>
        <w:textAlignment w:val="baseline"/>
        <w:rPr>
          <w:rFonts w:ascii="黑体" w:hAnsi="黑体" w:eastAsia="黑体" w:cs="仿宋_GB2312"/>
          <w:b w:val="0"/>
          <w:i w:val="0"/>
          <w:caps w:val="0"/>
          <w:color w:val="000000"/>
          <w:spacing w:val="0"/>
          <w:w w:val="100"/>
          <w:sz w:val="32"/>
          <w:szCs w:val="32"/>
        </w:rPr>
      </w:pPr>
      <w:r>
        <w:rPr>
          <w:rFonts w:hint="eastAsia" w:ascii="黑体" w:hAnsi="黑体" w:eastAsia="黑体" w:cs="方正小标宋简体"/>
          <w:b/>
          <w:i w:val="0"/>
          <w:caps w:val="0"/>
          <w:spacing w:val="0"/>
          <w:w w:val="100"/>
          <w:kern w:val="0"/>
          <w:sz w:val="44"/>
          <w:szCs w:val="44"/>
          <w:lang w:val="en-US" w:eastAsia="zh-CN" w:bidi="ar"/>
        </w:rPr>
        <w:t>扩容提质，大力发展</w:t>
      </w:r>
      <w:r>
        <w:rPr>
          <w:rFonts w:hint="eastAsia" w:ascii="黑体" w:hAnsi="黑体" w:eastAsia="黑体" w:cs="方正小标宋简体"/>
          <w:b/>
          <w:i w:val="0"/>
          <w:caps w:val="0"/>
          <w:spacing w:val="0"/>
          <w:w w:val="100"/>
          <w:kern w:val="0"/>
          <w:sz w:val="44"/>
          <w:szCs w:val="44"/>
          <w:lang w:bidi="ar"/>
        </w:rPr>
        <w:t>学前教育</w:t>
      </w:r>
    </w:p>
    <w:p>
      <w:pPr>
        <w:pStyle w:val="2"/>
        <w:widowControl/>
        <w:snapToGrid/>
        <w:spacing w:before="0" w:beforeAutospacing="0" w:after="0" w:afterAutospacing="0" w:line="360" w:lineRule="auto"/>
        <w:ind w:firstLine="640" w:firstLineChars="200"/>
        <w:jc w:val="both"/>
        <w:textAlignment w:val="baseline"/>
        <w:rPr>
          <w:rFonts w:ascii="仿宋_GB2312" w:hAnsi="仿宋_GB2312" w:eastAsia="仿宋_GB2312" w:cs="仿宋_GB2312"/>
          <w:b w:val="0"/>
          <w:i w:val="0"/>
          <w:caps w:val="0"/>
          <w:spacing w:val="0"/>
          <w:w w:val="100"/>
          <w:sz w:val="32"/>
          <w:szCs w:val="32"/>
        </w:rPr>
      </w:pP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baseline"/>
        <w:rPr>
          <w:rFonts w:hint="eastAsia" w:ascii="仿宋_GB2312" w:hAnsi="仿宋_GB2312" w:eastAsia="仿宋_GB2312" w:cs="仿宋_GB2312"/>
          <w:b w:val="0"/>
          <w:i w:val="0"/>
          <w:caps w:val="0"/>
          <w:spacing w:val="0"/>
          <w:w w:val="100"/>
          <w:sz w:val="32"/>
          <w:szCs w:val="32"/>
          <w:lang w:eastAsia="zh-CN"/>
        </w:rPr>
      </w:pPr>
      <w:r>
        <w:rPr>
          <w:rFonts w:hint="eastAsia" w:ascii="仿宋_GB2312" w:hAnsi="仿宋_GB2312" w:eastAsia="仿宋_GB2312" w:cs="仿宋_GB2312"/>
          <w:b w:val="0"/>
          <w:i w:val="0"/>
          <w:caps w:val="0"/>
          <w:spacing w:val="0"/>
          <w:w w:val="100"/>
          <w:sz w:val="32"/>
          <w:szCs w:val="32"/>
          <w:lang w:eastAsia="zh-CN"/>
        </w:rPr>
        <w:t>饶平县教育局</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baseline"/>
        <w:rPr>
          <w:rFonts w:hint="eastAsia" w:ascii="仿宋_GB2312" w:hAnsi="仿宋_GB2312" w:eastAsia="仿宋_GB2312" w:cs="仿宋_GB2312"/>
          <w:b w:val="0"/>
          <w:i w:val="0"/>
          <w:caps w:val="0"/>
          <w:spacing w:val="0"/>
          <w:w w:val="100"/>
          <w:sz w:val="32"/>
          <w:szCs w:val="32"/>
          <w:lang w:eastAsia="zh-CN"/>
        </w:rPr>
      </w:pP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近几年来，饶平县教育部门认真贯彻落实党的十九大精神和习近平新时代中国特色社会主义思想，以办人民满意教育为宗旨，把学前教育纳入全县教育事业统筹考虑，统筹规划，加大投入，积极优化学前教育布局，大力加强学前教育师资队伍建设，学前教育整体水平和普及程度不断提高。</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default" w:ascii="黑体" w:hAnsi="黑体" w:eastAsia="黑体" w:cs="宋体"/>
          <w:b w:val="0"/>
          <w:bCs w:val="0"/>
          <w:i w:val="0"/>
          <w:caps w:val="0"/>
          <w:spacing w:val="0"/>
          <w:w w:val="100"/>
          <w:sz w:val="32"/>
          <w:szCs w:val="32"/>
          <w:lang w:val="en-US" w:eastAsia="zh-CN"/>
        </w:rPr>
      </w:pPr>
      <w:r>
        <w:rPr>
          <w:rFonts w:hint="eastAsia" w:ascii="黑体" w:hAnsi="黑体" w:eastAsia="黑体" w:cs="宋体"/>
          <w:b w:val="0"/>
          <w:bCs w:val="0"/>
          <w:i w:val="0"/>
          <w:caps w:val="0"/>
          <w:spacing w:val="0"/>
          <w:w w:val="100"/>
          <w:sz w:val="32"/>
          <w:szCs w:val="32"/>
        </w:rPr>
        <w:t>一</w:t>
      </w:r>
      <w:r>
        <w:rPr>
          <w:rFonts w:hint="eastAsia" w:ascii="黑体" w:hAnsi="黑体" w:eastAsia="黑体" w:cs="宋体"/>
          <w:b w:val="0"/>
          <w:bCs w:val="0"/>
          <w:i w:val="0"/>
          <w:caps w:val="0"/>
          <w:color w:val="000000"/>
          <w:spacing w:val="0"/>
          <w:w w:val="100"/>
          <w:sz w:val="32"/>
          <w:szCs w:val="32"/>
        </w:rPr>
        <w:t>、</w:t>
      </w:r>
      <w:r>
        <w:rPr>
          <w:rFonts w:hint="eastAsia" w:ascii="黑体" w:hAnsi="黑体" w:eastAsia="黑体" w:cs="宋体"/>
          <w:b w:val="0"/>
          <w:bCs w:val="0"/>
          <w:i w:val="0"/>
          <w:caps w:val="0"/>
          <w:color w:val="000000"/>
          <w:spacing w:val="0"/>
          <w:w w:val="100"/>
          <w:sz w:val="32"/>
          <w:szCs w:val="32"/>
          <w:lang w:val="en-US" w:eastAsia="zh-CN"/>
        </w:rPr>
        <w:t>领导重视促发展</w:t>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_GB2312" w:hAnsi="仿宋_GB2312" w:eastAsia="仿宋_GB2312" w:cs="仿宋_GB2312"/>
          <w:b w:val="0"/>
          <w:i w:val="0"/>
          <w:caps w:val="0"/>
          <w:color w:val="000000"/>
          <w:spacing w:val="0"/>
          <w:w w:val="100"/>
          <w:sz w:val="32"/>
          <w:szCs w:val="32"/>
        </w:rPr>
      </w:pPr>
      <w:r>
        <w:rPr>
          <w:rFonts w:hint="eastAsia" w:ascii="仿宋_GB2312" w:hAnsi="仿宋_GB2312" w:eastAsia="仿宋_GB2312" w:cs="仿宋_GB2312"/>
          <w:b w:val="0"/>
          <w:i w:val="0"/>
          <w:caps w:val="0"/>
          <w:color w:val="000000"/>
          <w:spacing w:val="0"/>
          <w:w w:val="100"/>
          <w:sz w:val="32"/>
          <w:szCs w:val="32"/>
        </w:rPr>
        <w:t>近年来，饶平县委、县政府高度重视学前教育工作，将学前教育作为教育工作的主要“短板”和关键一环抓实抓好，明确“大力发展公办园和积极扶持普惠性民办园”的发展思路。经过近几年的努力，幼儿“入园难、入园贵”的问题得以解决。</w:t>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008880" cy="3337560"/>
            <wp:effectExtent l="0" t="0" r="1270" b="15240"/>
            <wp:docPr id="1" name="图片 1" descr="微信图片_202104150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415095022"/>
                    <pic:cNvPicPr>
                      <a:picLocks noChangeAspect="1"/>
                    </pic:cNvPicPr>
                  </pic:nvPicPr>
                  <pic:blipFill>
                    <a:blip r:embed="rId4"/>
                    <a:stretch>
                      <a:fillRect/>
                    </a:stretch>
                  </pic:blipFill>
                  <pic:spPr>
                    <a:xfrm>
                      <a:off x="0" y="0"/>
                      <a:ext cx="5008880" cy="33375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051425" cy="3377565"/>
            <wp:effectExtent l="0" t="0" r="15875" b="13335"/>
            <wp:docPr id="2" name="图片 2" descr="微信图片_2021041509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415095154"/>
                    <pic:cNvPicPr>
                      <a:picLocks noChangeAspect="1"/>
                    </pic:cNvPicPr>
                  </pic:nvPicPr>
                  <pic:blipFill>
                    <a:blip r:embed="rId5"/>
                    <a:srcRect t="10791" r="-77"/>
                    <a:stretch>
                      <a:fillRect/>
                    </a:stretch>
                  </pic:blipFill>
                  <pic:spPr>
                    <a:xfrm>
                      <a:off x="0" y="0"/>
                      <a:ext cx="5051425" cy="33775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Style w:val="5"/>
          <w:rFonts w:hint="eastAsia" w:ascii="黑体" w:hAnsi="黑体" w:eastAsia="黑体" w:cs="黑体"/>
          <w:b w:val="0"/>
          <w:bCs/>
          <w:i w:val="0"/>
          <w:caps w:val="0"/>
          <w:color w:val="222222"/>
          <w:spacing w:val="0"/>
          <w:w w:val="100"/>
          <w:sz w:val="32"/>
          <w:szCs w:val="32"/>
          <w:shd w:val="clear" w:fill="FFFFFF"/>
        </w:rPr>
      </w:pPr>
      <w:r>
        <w:rPr>
          <w:rStyle w:val="5"/>
          <w:rFonts w:hint="eastAsia" w:ascii="黑体" w:hAnsi="黑体" w:eastAsia="黑体" w:cs="黑体"/>
          <w:b w:val="0"/>
          <w:bCs/>
          <w:i w:val="0"/>
          <w:caps w:val="0"/>
          <w:color w:val="222222"/>
          <w:spacing w:val="0"/>
          <w:w w:val="100"/>
          <w:sz w:val="32"/>
          <w:szCs w:val="32"/>
          <w:shd w:val="clear" w:fill="FFFFFF"/>
          <w:lang w:val="en-US" w:eastAsia="zh-CN"/>
        </w:rPr>
        <w:t>二、</w:t>
      </w:r>
      <w:r>
        <w:rPr>
          <w:rStyle w:val="5"/>
          <w:rFonts w:hint="eastAsia" w:ascii="黑体" w:hAnsi="黑体" w:eastAsia="黑体" w:cs="黑体"/>
          <w:b w:val="0"/>
          <w:bCs/>
          <w:i w:val="0"/>
          <w:caps w:val="0"/>
          <w:color w:val="222222"/>
          <w:spacing w:val="0"/>
          <w:w w:val="100"/>
          <w:sz w:val="32"/>
          <w:szCs w:val="32"/>
          <w:shd w:val="clear" w:fill="FFFFFF"/>
        </w:rPr>
        <w:t>部门联动</w:t>
      </w:r>
      <w:r>
        <w:rPr>
          <w:rStyle w:val="5"/>
          <w:rFonts w:hint="eastAsia" w:ascii="黑体" w:hAnsi="黑体" w:eastAsia="黑体" w:cs="黑体"/>
          <w:b w:val="0"/>
          <w:bCs/>
          <w:i w:val="0"/>
          <w:caps w:val="0"/>
          <w:color w:val="222222"/>
          <w:spacing w:val="0"/>
          <w:w w:val="100"/>
          <w:sz w:val="32"/>
          <w:szCs w:val="32"/>
          <w:shd w:val="clear" w:fill="FFFFFF"/>
          <w:lang w:val="en-US" w:eastAsia="zh-CN"/>
        </w:rPr>
        <w:t>强监管</w:t>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 w:hAnsi="仿宋" w:eastAsia="仿宋" w:cs="仿宋"/>
          <w:b w:val="0"/>
          <w:i w:val="0"/>
          <w:caps w:val="0"/>
          <w:color w:val="auto"/>
          <w:spacing w:val="0"/>
          <w:w w:val="100"/>
          <w:sz w:val="32"/>
          <w:szCs w:val="32"/>
          <w:shd w:val="clear" w:fill="FFFFFF"/>
        </w:rPr>
      </w:pPr>
      <w:r>
        <w:rPr>
          <w:rFonts w:hint="eastAsia" w:ascii="仿宋" w:hAnsi="仿宋" w:eastAsia="仿宋" w:cs="仿宋"/>
          <w:b w:val="0"/>
          <w:i w:val="0"/>
          <w:caps w:val="0"/>
          <w:color w:val="auto"/>
          <w:spacing w:val="0"/>
          <w:w w:val="100"/>
          <w:sz w:val="32"/>
          <w:szCs w:val="32"/>
          <w:shd w:val="clear" w:fill="FFFFFF"/>
          <w:lang w:val="en-US" w:eastAsia="zh-CN"/>
        </w:rPr>
        <w:t>实践证明，学前教育的健康发展离不开各有关部门的齐抓共管，协同发力。多年来，饶平县</w:t>
      </w:r>
      <w:r>
        <w:rPr>
          <w:rFonts w:hint="eastAsia" w:ascii="仿宋" w:hAnsi="仿宋" w:eastAsia="仿宋" w:cs="仿宋"/>
          <w:b w:val="0"/>
          <w:i w:val="0"/>
          <w:caps w:val="0"/>
          <w:color w:val="auto"/>
          <w:spacing w:val="0"/>
          <w:w w:val="100"/>
          <w:sz w:val="32"/>
          <w:szCs w:val="32"/>
          <w:shd w:val="clear" w:fill="FFFFFF"/>
        </w:rPr>
        <w:t>教育局积极联合</w:t>
      </w:r>
      <w:r>
        <w:rPr>
          <w:rFonts w:hint="eastAsia" w:ascii="仿宋" w:hAnsi="仿宋" w:eastAsia="仿宋" w:cs="仿宋"/>
          <w:b w:val="0"/>
          <w:i w:val="0"/>
          <w:caps w:val="0"/>
          <w:color w:val="auto"/>
          <w:spacing w:val="0"/>
          <w:w w:val="100"/>
          <w:sz w:val="32"/>
          <w:szCs w:val="32"/>
          <w:u w:val="none"/>
          <w:shd w:val="clear" w:fill="FFFFFF"/>
        </w:rPr>
        <w:t>镇街、公安、消防、安监、行政执法、市场监管</w:t>
      </w:r>
      <w:r>
        <w:rPr>
          <w:rFonts w:hint="eastAsia" w:ascii="仿宋" w:hAnsi="仿宋" w:eastAsia="仿宋" w:cs="仿宋"/>
          <w:b w:val="0"/>
          <w:i w:val="0"/>
          <w:caps w:val="0"/>
          <w:color w:val="auto"/>
          <w:spacing w:val="0"/>
          <w:w w:val="100"/>
          <w:sz w:val="32"/>
          <w:szCs w:val="32"/>
          <w:shd w:val="clear" w:fill="FFFFFF"/>
        </w:rPr>
        <w:t>等部门，主动担当，牵头建立“多部门联动协作监管”机制。各相关单位职责分明、密切配合、综合施策，排隐患</w:t>
      </w:r>
      <w:r>
        <w:rPr>
          <w:rFonts w:hint="eastAsia" w:ascii="仿宋" w:hAnsi="仿宋" w:eastAsia="仿宋" w:cs="仿宋"/>
          <w:b w:val="0"/>
          <w:i w:val="0"/>
          <w:caps w:val="0"/>
          <w:color w:val="auto"/>
          <w:spacing w:val="0"/>
          <w:w w:val="100"/>
          <w:sz w:val="32"/>
          <w:szCs w:val="32"/>
          <w:shd w:val="clear" w:fill="FFFFFF"/>
          <w:lang w:eastAsia="zh-CN"/>
        </w:rPr>
        <w:t>、</w:t>
      </w:r>
      <w:r>
        <w:rPr>
          <w:rFonts w:hint="eastAsia" w:ascii="仿宋" w:hAnsi="仿宋" w:eastAsia="仿宋" w:cs="仿宋"/>
          <w:b w:val="0"/>
          <w:i w:val="0"/>
          <w:caps w:val="0"/>
          <w:color w:val="auto"/>
          <w:spacing w:val="0"/>
          <w:w w:val="100"/>
          <w:sz w:val="32"/>
          <w:szCs w:val="32"/>
          <w:shd w:val="clear" w:fill="FFFFFF"/>
        </w:rPr>
        <w:t>树规范，净化教育教学环境，严防安全事件发生，营造安全有序、健康快乐的幼儿学习环境。危机与突发事件迅速、有效、稳妥处置，内治外通，疏堵结合，维护学前教育正面形象。</w:t>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baseline"/>
        <w:rPr>
          <w:rFonts w:hint="eastAsia" w:ascii="仿宋" w:hAnsi="仿宋" w:eastAsia="仿宋" w:cs="仿宋"/>
          <w:b w:val="0"/>
          <w:i w:val="0"/>
          <w:caps w:val="0"/>
          <w:color w:val="222222"/>
          <w:spacing w:val="0"/>
          <w:w w:val="100"/>
          <w:sz w:val="32"/>
          <w:szCs w:val="32"/>
          <w:shd w:val="clear" w:fill="FFFFFF"/>
          <w:lang w:eastAsia="zh-CN"/>
        </w:rPr>
      </w:pPr>
      <w:r>
        <w:rPr>
          <w:rFonts w:hint="eastAsia" w:ascii="仿宋" w:hAnsi="仿宋" w:eastAsia="仿宋" w:cs="仿宋"/>
          <w:b w:val="0"/>
          <w:i w:val="0"/>
          <w:caps w:val="0"/>
          <w:color w:val="222222"/>
          <w:spacing w:val="0"/>
          <w:w w:val="100"/>
          <w:sz w:val="32"/>
          <w:szCs w:val="32"/>
          <w:shd w:val="clear" w:fill="FFFFFF"/>
          <w:lang w:eastAsia="zh-CN"/>
        </w:rPr>
        <w:drawing>
          <wp:inline distT="0" distB="0" distL="114300" distR="114300">
            <wp:extent cx="4905375" cy="3350260"/>
            <wp:effectExtent l="0" t="0" r="9525" b="2540"/>
            <wp:docPr id="3" name="图片 3" descr="微信图片_2021041509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415095149"/>
                    <pic:cNvPicPr>
                      <a:picLocks noChangeAspect="1"/>
                    </pic:cNvPicPr>
                  </pic:nvPicPr>
                  <pic:blipFill>
                    <a:blip r:embed="rId6"/>
                    <a:srcRect t="5642" r="1531" b="4710"/>
                    <a:stretch>
                      <a:fillRect/>
                    </a:stretch>
                  </pic:blipFill>
                  <pic:spPr>
                    <a:xfrm>
                      <a:off x="0" y="0"/>
                      <a:ext cx="4905375" cy="3350260"/>
                    </a:xfrm>
                    <a:prstGeom prst="rect">
                      <a:avLst/>
                    </a:prstGeom>
                  </pic:spPr>
                </pic:pic>
              </a:graphicData>
            </a:graphic>
          </wp:inline>
        </w:drawing>
      </w:r>
      <w:r>
        <w:rPr>
          <w:rFonts w:hint="eastAsia" w:ascii="仿宋" w:hAnsi="仿宋" w:eastAsia="仿宋" w:cs="仿宋"/>
          <w:b w:val="0"/>
          <w:i w:val="0"/>
          <w:caps w:val="0"/>
          <w:color w:val="222222"/>
          <w:spacing w:val="0"/>
          <w:w w:val="100"/>
          <w:sz w:val="32"/>
          <w:szCs w:val="32"/>
          <w:shd w:val="clear" w:fill="FFFFFF"/>
          <w:lang w:eastAsia="zh-CN"/>
        </w:rPr>
        <w:drawing>
          <wp:inline distT="0" distB="0" distL="114300" distR="114300">
            <wp:extent cx="4913630" cy="3686175"/>
            <wp:effectExtent l="0" t="0" r="1270" b="9525"/>
            <wp:docPr id="4" name="图片 4" descr="微信图片_202104150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415095117"/>
                    <pic:cNvPicPr>
                      <a:picLocks noChangeAspect="1"/>
                    </pic:cNvPicPr>
                  </pic:nvPicPr>
                  <pic:blipFill>
                    <a:blip r:embed="rId7"/>
                    <a:stretch>
                      <a:fillRect/>
                    </a:stretch>
                  </pic:blipFill>
                  <pic:spPr>
                    <a:xfrm>
                      <a:off x="0" y="0"/>
                      <a:ext cx="4913630" cy="36861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Style w:val="5"/>
          <w:rFonts w:hint="eastAsia" w:ascii="黑体" w:hAnsi="黑体" w:eastAsia="黑体" w:cs="黑体"/>
          <w:b w:val="0"/>
          <w:bCs/>
          <w:i w:val="0"/>
          <w:caps w:val="0"/>
          <w:color w:val="222222"/>
          <w:spacing w:val="0"/>
          <w:w w:val="100"/>
          <w:sz w:val="32"/>
          <w:szCs w:val="32"/>
          <w:shd w:val="clear" w:fill="FFFFFF"/>
        </w:rPr>
      </w:pPr>
      <w:r>
        <w:rPr>
          <w:rStyle w:val="5"/>
          <w:rFonts w:hint="eastAsia" w:ascii="黑体" w:hAnsi="黑体" w:eastAsia="黑体" w:cs="黑体"/>
          <w:b w:val="0"/>
          <w:bCs/>
          <w:i w:val="0"/>
          <w:caps w:val="0"/>
          <w:color w:val="222222"/>
          <w:spacing w:val="0"/>
          <w:w w:val="100"/>
          <w:sz w:val="32"/>
          <w:szCs w:val="32"/>
          <w:shd w:val="clear" w:fill="FFFFFF"/>
        </w:rPr>
        <w:t>三、多措并举结硕果</w:t>
      </w: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rPr>
      </w:pPr>
      <w:r>
        <w:rPr>
          <w:rFonts w:hint="eastAsia" w:ascii="仿宋_GB2312" w:hAnsi="仿宋_GB2312" w:eastAsia="仿宋_GB2312" w:cs="仿宋_GB2312"/>
          <w:b w:val="0"/>
          <w:i w:val="0"/>
          <w:caps w:val="0"/>
          <w:color w:val="auto"/>
          <w:spacing w:val="0"/>
          <w:w w:val="100"/>
          <w:sz w:val="32"/>
          <w:szCs w:val="32"/>
        </w:rPr>
        <w:t>通过落实三期学前教育三年行动计划发展总目标，饶平县学前教育工作质效得到明显提升。</w:t>
      </w:r>
      <w:r>
        <w:rPr>
          <w:rStyle w:val="5"/>
          <w:rFonts w:hint="eastAsia" w:ascii="仿宋_GB2312" w:hAnsi="仿宋_GB2312" w:eastAsia="仿宋_GB2312" w:cs="仿宋_GB2312"/>
          <w:b/>
          <w:i w:val="0"/>
          <w:caps w:val="0"/>
          <w:color w:val="auto"/>
          <w:spacing w:val="0"/>
          <w:w w:val="100"/>
          <w:sz w:val="32"/>
          <w:szCs w:val="32"/>
        </w:rPr>
        <w:t>一是普惠性幼儿园建设方面，</w:t>
      </w:r>
      <w:r>
        <w:rPr>
          <w:rFonts w:hint="eastAsia" w:ascii="仿宋_GB2312" w:hAnsi="仿宋_GB2312" w:eastAsia="仿宋_GB2312" w:cs="仿宋_GB2312"/>
          <w:b w:val="0"/>
          <w:i w:val="0"/>
          <w:caps w:val="0"/>
          <w:color w:val="auto"/>
          <w:spacing w:val="0"/>
          <w:w w:val="100"/>
          <w:sz w:val="32"/>
          <w:szCs w:val="32"/>
        </w:rPr>
        <w:t>全县幼儿在园（班）人数共26058人，其中在公办幼儿园就读人数13873人，占比53%；公办及普惠性民办幼儿园在园幼儿22346人，占比85%。学前三年幼儿入园率为98%，实现学前教育“5080”发展目标。</w:t>
      </w:r>
      <w:r>
        <w:rPr>
          <w:rStyle w:val="5"/>
          <w:rFonts w:hint="eastAsia" w:ascii="仿宋_GB2312" w:hAnsi="仿宋_GB2312" w:eastAsia="仿宋_GB2312" w:cs="仿宋_GB2312"/>
          <w:b/>
          <w:i w:val="0"/>
          <w:caps w:val="0"/>
          <w:color w:val="auto"/>
          <w:spacing w:val="0"/>
          <w:w w:val="100"/>
          <w:sz w:val="32"/>
          <w:szCs w:val="32"/>
        </w:rPr>
        <w:t>二是规范幼儿园建设方面，</w:t>
      </w:r>
      <w:r>
        <w:rPr>
          <w:rFonts w:hint="eastAsia" w:ascii="仿宋_GB2312" w:hAnsi="仿宋_GB2312" w:eastAsia="仿宋_GB2312" w:cs="仿宋_GB2312"/>
          <w:b w:val="0"/>
          <w:i w:val="0"/>
          <w:caps w:val="0"/>
          <w:color w:val="auto"/>
          <w:spacing w:val="0"/>
          <w:w w:val="100"/>
          <w:sz w:val="32"/>
          <w:szCs w:val="32"/>
        </w:rPr>
        <w:t>全县共有规范化幼儿园103所，规范化幼儿园占比达85%。</w:t>
      </w:r>
      <w:r>
        <w:rPr>
          <w:rStyle w:val="5"/>
          <w:rFonts w:hint="eastAsia" w:ascii="仿宋_GB2312" w:hAnsi="仿宋_GB2312" w:eastAsia="仿宋_GB2312" w:cs="仿宋_GB2312"/>
          <w:b/>
          <w:i w:val="0"/>
          <w:caps w:val="0"/>
          <w:color w:val="auto"/>
          <w:spacing w:val="0"/>
          <w:w w:val="100"/>
          <w:sz w:val="32"/>
          <w:szCs w:val="32"/>
        </w:rPr>
        <w:t>三是师资队伍建设方面，</w:t>
      </w:r>
      <w:r>
        <w:rPr>
          <w:rFonts w:hint="eastAsia" w:ascii="仿宋_GB2312" w:hAnsi="仿宋_GB2312" w:eastAsia="仿宋_GB2312" w:cs="仿宋_GB2312"/>
          <w:b w:val="0"/>
          <w:i w:val="0"/>
          <w:caps w:val="0"/>
          <w:color w:val="auto"/>
          <w:spacing w:val="0"/>
          <w:w w:val="100"/>
          <w:sz w:val="32"/>
          <w:szCs w:val="32"/>
        </w:rPr>
        <w:t>全县幼儿园专任教师（含园长）1461人，持证率达71.9%；专任教师大专以上学历为828人，学历达标率为62.4%。</w:t>
      </w:r>
    </w:p>
    <w:p>
      <w:pPr>
        <w:pStyle w:val="2"/>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rPr>
      </w:pPr>
      <w:r>
        <w:rPr>
          <w:rFonts w:hint="eastAsia" w:ascii="仿宋_GB2312" w:hAnsi="仿宋_GB2312" w:eastAsia="仿宋_GB2312" w:cs="仿宋_GB2312"/>
          <w:b/>
          <w:i w:val="0"/>
          <w:caps w:val="0"/>
          <w:color w:val="auto"/>
          <w:spacing w:val="0"/>
          <w:w w:val="100"/>
          <w:sz w:val="32"/>
          <w:szCs w:val="32"/>
        </w:rPr>
        <w:t>制定出台有关工作方案，为推进各项工作打好基础</w:t>
      </w:r>
      <w:r>
        <w:rPr>
          <w:rStyle w:val="5"/>
          <w:rFonts w:hint="eastAsia" w:ascii="仿宋_GB2312" w:hAnsi="仿宋_GB2312" w:eastAsia="仿宋_GB2312" w:cs="仿宋_GB2312"/>
          <w:b w:val="0"/>
          <w:i w:val="0"/>
          <w:caps w:val="0"/>
          <w:color w:val="auto"/>
          <w:spacing w:val="0"/>
          <w:w w:val="100"/>
          <w:sz w:val="32"/>
          <w:szCs w:val="32"/>
        </w:rPr>
        <w:t>。</w:t>
      </w:r>
      <w:r>
        <w:rPr>
          <w:rFonts w:hint="eastAsia" w:ascii="仿宋_GB2312" w:hAnsi="仿宋_GB2312" w:eastAsia="仿宋_GB2312" w:cs="仿宋_GB2312"/>
          <w:b w:val="0"/>
          <w:i w:val="0"/>
          <w:caps w:val="0"/>
          <w:color w:val="auto"/>
          <w:spacing w:val="0"/>
          <w:w w:val="100"/>
          <w:sz w:val="32"/>
          <w:szCs w:val="32"/>
        </w:rPr>
        <w:t>制定出台三期</w:t>
      </w:r>
      <w:r>
        <w:rPr>
          <w:rFonts w:hint="eastAsia" w:ascii="仿宋_GB2312" w:hAnsi="仿宋_GB2312" w:eastAsia="仿宋_GB2312" w:cs="仿宋_GB2312"/>
          <w:b w:val="0"/>
          <w:i w:val="0"/>
          <w:caps w:val="0"/>
          <w:color w:val="auto"/>
          <w:spacing w:val="0"/>
          <w:w w:val="100"/>
          <w:sz w:val="32"/>
          <w:szCs w:val="32"/>
          <w:u w:val="none"/>
        </w:rPr>
        <w:t>《学前教育三年行动计划》，明确责任分工和年度任务分解，还制定了《饶平县普惠性民办幼儿园认定工作方案》《饶平县城镇小区配套幼儿园治理工作方案》</w:t>
      </w:r>
      <w:r>
        <w:rPr>
          <w:rFonts w:hint="eastAsia" w:ascii="仿宋_GB2312" w:hAnsi="仿宋_GB2312" w:eastAsia="仿宋_GB2312" w:cs="仿宋_GB2312"/>
          <w:b w:val="0"/>
          <w:i w:val="0"/>
          <w:caps w:val="0"/>
          <w:color w:val="auto"/>
          <w:spacing w:val="0"/>
          <w:w w:val="100"/>
          <w:sz w:val="32"/>
          <w:szCs w:val="32"/>
        </w:rPr>
        <w:t>《饶平县关于扶持民办中小学校幼儿园发展若干措施》《饶平县实施学前教育“5080”攻坚行动工作方案》等学前教育指导性文件，有效落实三年行动计划。</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2652395" cy="3247390"/>
            <wp:effectExtent l="0" t="0" r="14605" b="10160"/>
            <wp:docPr id="15" name="图片 15" descr="微信图片_2021041510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415103625"/>
                    <pic:cNvPicPr>
                      <a:picLocks noChangeAspect="1"/>
                    </pic:cNvPicPr>
                  </pic:nvPicPr>
                  <pic:blipFill>
                    <a:blip r:embed="rId8"/>
                    <a:srcRect l="7800" t="283" r="3662" b="578"/>
                    <a:stretch>
                      <a:fillRect/>
                    </a:stretch>
                  </pic:blipFill>
                  <pic:spPr>
                    <a:xfrm>
                      <a:off x="0" y="0"/>
                      <a:ext cx="2652395" cy="3247390"/>
                    </a:xfrm>
                    <a:prstGeom prst="rect">
                      <a:avLst/>
                    </a:prstGeom>
                  </pic:spPr>
                </pic:pic>
              </a:graphicData>
            </a:graphic>
          </wp:inline>
        </w:drawing>
      </w: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2580640" cy="3361690"/>
            <wp:effectExtent l="0" t="0" r="10160" b="10160"/>
            <wp:docPr id="16" name="图片 16" descr="微信图片_2021041510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415103523"/>
                    <pic:cNvPicPr>
                      <a:picLocks noChangeAspect="1"/>
                    </pic:cNvPicPr>
                  </pic:nvPicPr>
                  <pic:blipFill>
                    <a:blip r:embed="rId9"/>
                    <a:srcRect l="5169" r="5987" b="1722"/>
                    <a:stretch>
                      <a:fillRect/>
                    </a:stretch>
                  </pic:blipFill>
                  <pic:spPr>
                    <a:xfrm>
                      <a:off x="0" y="0"/>
                      <a:ext cx="2580640" cy="3361690"/>
                    </a:xfrm>
                    <a:prstGeom prst="rect">
                      <a:avLst/>
                    </a:prstGeom>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rPr>
      </w:pPr>
      <w:r>
        <w:rPr>
          <w:rFonts w:hint="eastAsia" w:ascii="仿宋_GB2312" w:hAnsi="仿宋_GB2312" w:eastAsia="仿宋_GB2312" w:cs="仿宋_GB2312"/>
          <w:b/>
          <w:i w:val="0"/>
          <w:caps w:val="0"/>
          <w:color w:val="000000"/>
          <w:spacing w:val="0"/>
          <w:w w:val="100"/>
          <w:kern w:val="0"/>
          <w:sz w:val="32"/>
          <w:szCs w:val="32"/>
        </w:rPr>
        <w:t>注重规划建设，扩大学前教育资源供给。</w:t>
      </w:r>
      <w:r>
        <w:rPr>
          <w:rStyle w:val="5"/>
          <w:rFonts w:hint="eastAsia" w:ascii="仿宋_GB2312" w:hAnsi="仿宋_GB2312" w:eastAsia="仿宋_GB2312" w:cs="仿宋_GB2312"/>
          <w:b/>
          <w:i w:val="0"/>
          <w:caps w:val="0"/>
          <w:color w:val="000000"/>
          <w:spacing w:val="0"/>
          <w:w w:val="100"/>
          <w:sz w:val="32"/>
          <w:szCs w:val="32"/>
        </w:rPr>
        <w:t>一是</w:t>
      </w:r>
      <w:r>
        <w:rPr>
          <w:rStyle w:val="5"/>
          <w:rFonts w:hint="eastAsia" w:ascii="仿宋_GB2312" w:hAnsi="仿宋_GB2312" w:eastAsia="仿宋_GB2312" w:cs="仿宋_GB2312"/>
          <w:b w:val="0"/>
          <w:i w:val="0"/>
          <w:caps w:val="0"/>
          <w:color w:val="000000"/>
          <w:spacing w:val="0"/>
          <w:w w:val="100"/>
          <w:sz w:val="32"/>
          <w:szCs w:val="32"/>
        </w:rPr>
        <w:t>完善学前教育布局规划。</w:t>
      </w:r>
      <w:r>
        <w:rPr>
          <w:rFonts w:hint="eastAsia" w:ascii="仿宋_GB2312" w:hAnsi="仿宋_GB2312" w:eastAsia="仿宋_GB2312" w:cs="仿宋_GB2312"/>
          <w:b w:val="0"/>
          <w:i w:val="0"/>
          <w:caps w:val="0"/>
          <w:spacing w:val="0"/>
          <w:w w:val="100"/>
          <w:sz w:val="32"/>
          <w:szCs w:val="32"/>
        </w:rPr>
        <w:t>2011年以来，按照省、市、县《学前教育三年行动计划》的有关要求</w:t>
      </w:r>
      <w:r>
        <w:rPr>
          <w:rFonts w:hint="eastAsia" w:ascii="仿宋_GB2312" w:hAnsi="仿宋_GB2312" w:eastAsia="仿宋_GB2312" w:cs="仿宋_GB2312"/>
          <w:b w:val="0"/>
          <w:i w:val="0"/>
          <w:caps w:val="0"/>
          <w:color w:val="000000"/>
          <w:spacing w:val="0"/>
          <w:w w:val="100"/>
          <w:sz w:val="32"/>
          <w:szCs w:val="32"/>
        </w:rPr>
        <w:t>，加紧编制学前教育专项规划，大力支持发展公办幼儿园，积极引进社会力量举办民办幼儿园，加速小区配套园治理工作。</w:t>
      </w:r>
      <w:r>
        <w:rPr>
          <w:rFonts w:hint="eastAsia" w:ascii="仿宋_GB2312" w:hAnsi="仿宋_GB2312" w:eastAsia="仿宋_GB2312" w:cs="仿宋_GB2312"/>
          <w:b/>
          <w:i w:val="0"/>
          <w:caps w:val="0"/>
          <w:color w:val="000000"/>
          <w:spacing w:val="0"/>
          <w:w w:val="100"/>
          <w:sz w:val="32"/>
          <w:szCs w:val="32"/>
        </w:rPr>
        <w:t>二是</w:t>
      </w:r>
      <w:r>
        <w:rPr>
          <w:rFonts w:hint="eastAsia" w:ascii="仿宋_GB2312" w:hAnsi="仿宋_GB2312" w:eastAsia="仿宋_GB2312" w:cs="仿宋_GB2312"/>
          <w:b w:val="0"/>
          <w:i w:val="0"/>
          <w:caps w:val="0"/>
          <w:color w:val="000000"/>
          <w:spacing w:val="0"/>
          <w:w w:val="100"/>
          <w:sz w:val="32"/>
          <w:szCs w:val="32"/>
        </w:rPr>
        <w:t>加大幼儿园建设力度。易地新建县中心幼儿园，</w:t>
      </w:r>
      <w:r>
        <w:rPr>
          <w:rFonts w:hint="eastAsia" w:ascii="仿宋_GB2312" w:hAnsi="仿宋_GB2312" w:eastAsia="仿宋_GB2312" w:cs="仿宋_GB2312"/>
          <w:b w:val="0"/>
          <w:i w:val="0"/>
          <w:caps w:val="0"/>
          <w:color w:val="000000"/>
          <w:spacing w:val="0"/>
          <w:w w:val="100"/>
          <w:sz w:val="32"/>
          <w:szCs w:val="32"/>
          <w:u w:val="none"/>
        </w:rPr>
        <w:t>新建或改扩建乡镇中心幼儿园21所，充实了我县公办学前教育资源。近</w:t>
      </w:r>
      <w:r>
        <w:rPr>
          <w:rFonts w:hint="eastAsia" w:ascii="仿宋_GB2312" w:hAnsi="仿宋_GB2312" w:eastAsia="仿宋_GB2312" w:cs="仿宋_GB2312"/>
          <w:b w:val="0"/>
          <w:i w:val="0"/>
          <w:caps w:val="0"/>
          <w:color w:val="000000"/>
          <w:spacing w:val="0"/>
          <w:w w:val="100"/>
          <w:sz w:val="32"/>
          <w:szCs w:val="32"/>
          <w:u w:val="none"/>
          <w:lang w:eastAsia="zh-CN"/>
        </w:rPr>
        <w:t>十</w:t>
      </w:r>
      <w:r>
        <w:rPr>
          <w:rFonts w:hint="eastAsia" w:ascii="仿宋_GB2312" w:hAnsi="仿宋_GB2312" w:eastAsia="仿宋_GB2312" w:cs="仿宋_GB2312"/>
          <w:b w:val="0"/>
          <w:i w:val="0"/>
          <w:caps w:val="0"/>
          <w:color w:val="000000"/>
          <w:spacing w:val="0"/>
          <w:w w:val="100"/>
          <w:sz w:val="32"/>
          <w:szCs w:val="32"/>
          <w:u w:val="none"/>
        </w:rPr>
        <w:t>年来，全县共新增公办幼儿园</w:t>
      </w:r>
      <w:r>
        <w:rPr>
          <w:rFonts w:hint="eastAsia" w:ascii="仿宋_GB2312" w:hAnsi="仿宋_GB2312" w:eastAsia="仿宋_GB2312" w:cs="仿宋_GB2312"/>
          <w:b w:val="0"/>
          <w:i w:val="0"/>
          <w:caps w:val="0"/>
          <w:color w:val="000000"/>
          <w:spacing w:val="0"/>
          <w:w w:val="100"/>
          <w:sz w:val="32"/>
          <w:szCs w:val="32"/>
          <w:u w:val="none"/>
          <w:lang w:val="en-US" w:eastAsia="zh-CN"/>
        </w:rPr>
        <w:t>22</w:t>
      </w:r>
      <w:r>
        <w:rPr>
          <w:rFonts w:hint="eastAsia" w:ascii="仿宋_GB2312" w:hAnsi="仿宋_GB2312" w:eastAsia="仿宋_GB2312" w:cs="仿宋_GB2312"/>
          <w:b w:val="0"/>
          <w:i w:val="0"/>
          <w:caps w:val="0"/>
          <w:color w:val="000000"/>
          <w:spacing w:val="0"/>
          <w:w w:val="100"/>
          <w:sz w:val="32"/>
          <w:szCs w:val="32"/>
          <w:u w:val="none"/>
        </w:rPr>
        <w:t>所，</w:t>
      </w:r>
      <w:r>
        <w:rPr>
          <w:rFonts w:hint="eastAsia" w:ascii="仿宋_GB2312" w:hAnsi="仿宋_GB2312" w:eastAsia="仿宋_GB2312" w:cs="仿宋_GB2312"/>
          <w:b w:val="0"/>
          <w:i w:val="0"/>
          <w:caps w:val="0"/>
          <w:color w:val="000000"/>
          <w:spacing w:val="0"/>
          <w:w w:val="100"/>
          <w:sz w:val="32"/>
          <w:szCs w:val="32"/>
        </w:rPr>
        <w:t>新增学位近</w:t>
      </w:r>
      <w:r>
        <w:rPr>
          <w:rFonts w:hint="eastAsia" w:ascii="仿宋_GB2312" w:hAnsi="仿宋_GB2312" w:eastAsia="仿宋_GB2312" w:cs="仿宋_GB2312"/>
          <w:b w:val="0"/>
          <w:i w:val="0"/>
          <w:caps w:val="0"/>
          <w:color w:val="000000"/>
          <w:spacing w:val="0"/>
          <w:w w:val="100"/>
          <w:sz w:val="32"/>
          <w:szCs w:val="32"/>
          <w:lang w:val="en-US" w:eastAsia="zh-CN"/>
        </w:rPr>
        <w:t>3960</w:t>
      </w:r>
      <w:r>
        <w:rPr>
          <w:rFonts w:hint="eastAsia" w:ascii="仿宋_GB2312" w:hAnsi="仿宋_GB2312" w:eastAsia="仿宋_GB2312" w:cs="仿宋_GB2312"/>
          <w:b w:val="0"/>
          <w:i w:val="0"/>
          <w:caps w:val="0"/>
          <w:color w:val="000000"/>
          <w:spacing w:val="0"/>
          <w:w w:val="100"/>
          <w:sz w:val="32"/>
          <w:szCs w:val="32"/>
        </w:rPr>
        <w:t>个</w:t>
      </w:r>
      <w:r>
        <w:rPr>
          <w:rFonts w:hint="eastAsia" w:ascii="仿宋_GB2312" w:hAnsi="仿宋_GB2312" w:eastAsia="仿宋_GB2312" w:cs="仿宋_GB2312"/>
          <w:b w:val="0"/>
          <w:i w:val="0"/>
          <w:caps w:val="0"/>
          <w:color w:val="000000"/>
          <w:spacing w:val="0"/>
          <w:w w:val="100"/>
          <w:sz w:val="32"/>
          <w:szCs w:val="32"/>
          <w:lang w:eastAsia="zh-CN"/>
        </w:rPr>
        <w:t>；</w:t>
      </w:r>
      <w:r>
        <w:rPr>
          <w:rFonts w:hint="eastAsia" w:ascii="仿宋_GB2312" w:hAnsi="仿宋_GB2312" w:eastAsia="仿宋_GB2312" w:cs="仿宋_GB2312"/>
          <w:b w:val="0"/>
          <w:i w:val="0"/>
          <w:caps w:val="0"/>
          <w:color w:val="000000"/>
          <w:spacing w:val="0"/>
          <w:w w:val="100"/>
          <w:sz w:val="32"/>
          <w:szCs w:val="32"/>
        </w:rPr>
        <w:t>新设立民办幼儿园</w:t>
      </w:r>
      <w:r>
        <w:rPr>
          <w:rFonts w:hint="eastAsia" w:ascii="仿宋_GB2312" w:hAnsi="仿宋_GB2312" w:eastAsia="仿宋_GB2312" w:cs="仿宋_GB2312"/>
          <w:b w:val="0"/>
          <w:i w:val="0"/>
          <w:caps w:val="0"/>
          <w:color w:val="000000"/>
          <w:spacing w:val="0"/>
          <w:w w:val="100"/>
          <w:sz w:val="32"/>
          <w:szCs w:val="32"/>
          <w:lang w:val="en-US" w:eastAsia="zh-CN"/>
        </w:rPr>
        <w:t>49</w:t>
      </w:r>
      <w:r>
        <w:rPr>
          <w:rFonts w:hint="eastAsia" w:ascii="仿宋_GB2312" w:hAnsi="仿宋_GB2312" w:eastAsia="仿宋_GB2312" w:cs="仿宋_GB2312"/>
          <w:b w:val="0"/>
          <w:i w:val="0"/>
          <w:caps w:val="0"/>
          <w:color w:val="000000"/>
          <w:spacing w:val="0"/>
          <w:w w:val="100"/>
          <w:sz w:val="32"/>
          <w:szCs w:val="32"/>
        </w:rPr>
        <w:t>所，新增学位近</w:t>
      </w:r>
      <w:r>
        <w:rPr>
          <w:rFonts w:hint="eastAsia" w:ascii="仿宋_GB2312" w:hAnsi="仿宋_GB2312" w:eastAsia="仿宋_GB2312" w:cs="仿宋_GB2312"/>
          <w:b w:val="0"/>
          <w:i w:val="0"/>
          <w:caps w:val="0"/>
          <w:color w:val="000000"/>
          <w:spacing w:val="0"/>
          <w:w w:val="100"/>
          <w:sz w:val="32"/>
          <w:szCs w:val="32"/>
          <w:lang w:val="en-US" w:eastAsia="zh-CN"/>
        </w:rPr>
        <w:t>5500</w:t>
      </w:r>
      <w:r>
        <w:rPr>
          <w:rFonts w:hint="eastAsia" w:ascii="仿宋_GB2312" w:hAnsi="仿宋_GB2312" w:eastAsia="仿宋_GB2312" w:cs="仿宋_GB2312"/>
          <w:b w:val="0"/>
          <w:i w:val="0"/>
          <w:caps w:val="0"/>
          <w:color w:val="000000"/>
          <w:spacing w:val="0"/>
          <w:w w:val="100"/>
          <w:sz w:val="32"/>
          <w:szCs w:val="32"/>
        </w:rPr>
        <w:t>个，扩大了全县学前教育资源供给。</w:t>
      </w:r>
      <w:r>
        <w:rPr>
          <w:rFonts w:hint="eastAsia" w:ascii="仿宋_GB2312" w:hAnsi="仿宋_GB2312" w:eastAsia="仿宋_GB2312" w:cs="仿宋_GB2312"/>
          <w:b/>
          <w:i w:val="0"/>
          <w:caps w:val="0"/>
          <w:color w:val="000000"/>
          <w:spacing w:val="0"/>
          <w:w w:val="100"/>
          <w:sz w:val="32"/>
          <w:szCs w:val="32"/>
        </w:rPr>
        <w:t>三是</w:t>
      </w:r>
      <w:r>
        <w:rPr>
          <w:rFonts w:hint="eastAsia" w:ascii="仿宋_GB2312" w:hAnsi="仿宋_GB2312" w:eastAsia="仿宋_GB2312" w:cs="仿宋_GB2312"/>
          <w:b w:val="0"/>
          <w:i w:val="0"/>
          <w:caps w:val="0"/>
          <w:color w:val="000000"/>
          <w:spacing w:val="0"/>
          <w:w w:val="100"/>
          <w:sz w:val="32"/>
          <w:szCs w:val="32"/>
        </w:rPr>
        <w:t>加强住宅区配套幼儿园</w:t>
      </w:r>
      <w:r>
        <w:rPr>
          <w:rFonts w:hint="eastAsia" w:ascii="仿宋_GB2312" w:hAnsi="仿宋_GB2312" w:eastAsia="仿宋_GB2312" w:cs="仿宋_GB2312"/>
          <w:b w:val="0"/>
          <w:i w:val="0"/>
          <w:caps w:val="0"/>
          <w:color w:val="000000"/>
          <w:spacing w:val="0"/>
          <w:w w:val="100"/>
          <w:sz w:val="32"/>
          <w:szCs w:val="32"/>
          <w:lang w:eastAsia="zh-CN"/>
        </w:rPr>
        <w:t>建设</w:t>
      </w:r>
      <w:r>
        <w:rPr>
          <w:rFonts w:hint="eastAsia" w:ascii="仿宋_GB2312" w:hAnsi="仿宋_GB2312" w:eastAsia="仿宋_GB2312" w:cs="仿宋_GB2312"/>
          <w:b w:val="0"/>
          <w:i w:val="0"/>
          <w:caps w:val="0"/>
          <w:color w:val="000000"/>
          <w:spacing w:val="0"/>
          <w:w w:val="100"/>
          <w:sz w:val="32"/>
          <w:szCs w:val="32"/>
        </w:rPr>
        <w:t>管理。目前，我县城镇小区配套幼儿园治理工作已完成，南信华府幼儿园2020年9月开始招生，增加普惠性学前教育学位360个，有效缓解我县县城六号路西片区普惠性学前教育学位紧张情况。</w:t>
      </w: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273040" cy="3513455"/>
            <wp:effectExtent l="0" t="0" r="3810" b="10795"/>
            <wp:docPr id="5" name="图片 5" descr="微信图片_2021041509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415094932"/>
                    <pic:cNvPicPr>
                      <a:picLocks noChangeAspect="1"/>
                    </pic:cNvPicPr>
                  </pic:nvPicPr>
                  <pic:blipFill>
                    <a:blip r:embed="rId10"/>
                    <a:stretch>
                      <a:fillRect/>
                    </a:stretch>
                  </pic:blipFill>
                  <pic:spPr>
                    <a:xfrm>
                      <a:off x="0" y="0"/>
                      <a:ext cx="5273040" cy="351345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sz w:val="15"/>
          <w:szCs w:val="15"/>
          <w:lang w:eastAsia="zh-CN"/>
        </w:rPr>
      </w:pP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273040" cy="3513455"/>
            <wp:effectExtent l="0" t="0" r="3810" b="10795"/>
            <wp:docPr id="12" name="图片 12" descr="微信图片_2021041509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415095057"/>
                    <pic:cNvPicPr>
                      <a:picLocks noChangeAspect="1"/>
                    </pic:cNvPicPr>
                  </pic:nvPicPr>
                  <pic:blipFill>
                    <a:blip r:embed="rId11"/>
                    <a:stretch>
                      <a:fillRect/>
                    </a:stretch>
                  </pic:blipFill>
                  <pic:spPr>
                    <a:xfrm>
                      <a:off x="0" y="0"/>
                      <a:ext cx="5273040" cy="3513455"/>
                    </a:xfrm>
                    <a:prstGeom prst="rect">
                      <a:avLst/>
                    </a:prstGeom>
                  </pic:spPr>
                </pic:pic>
              </a:graphicData>
            </a:graphic>
          </wp:inline>
        </w:drawing>
      </w: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273040" cy="2755265"/>
            <wp:effectExtent l="0" t="0" r="3810" b="6985"/>
            <wp:docPr id="13" name="图片 13" descr="微信图片_2021041509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415095051"/>
                    <pic:cNvPicPr>
                      <a:picLocks noChangeAspect="1"/>
                    </pic:cNvPicPr>
                  </pic:nvPicPr>
                  <pic:blipFill>
                    <a:blip r:embed="rId12"/>
                    <a:stretch>
                      <a:fillRect/>
                    </a:stretch>
                  </pic:blipFill>
                  <pic:spPr>
                    <a:xfrm>
                      <a:off x="0" y="0"/>
                      <a:ext cx="5273040" cy="2755265"/>
                    </a:xfrm>
                    <a:prstGeom prst="rect">
                      <a:avLst/>
                    </a:prstGeom>
                  </pic:spPr>
                </pic:pic>
              </a:graphicData>
            </a:graphic>
          </wp:inline>
        </w:drawing>
      </w:r>
    </w:p>
    <w:p>
      <w:pPr>
        <w:pStyle w:val="2"/>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kern w:val="2"/>
          <w:sz w:val="32"/>
          <w:szCs w:val="32"/>
        </w:rPr>
      </w:pPr>
      <w:r>
        <w:rPr>
          <w:rFonts w:hint="eastAsia" w:ascii="仿宋_GB2312" w:hAnsi="仿宋_GB2312" w:eastAsia="仿宋_GB2312" w:cs="仿宋_GB2312"/>
          <w:b/>
          <w:bCs/>
          <w:i w:val="0"/>
          <w:caps w:val="0"/>
          <w:color w:val="000000"/>
          <w:spacing w:val="0"/>
          <w:w w:val="100"/>
          <w:kern w:val="2"/>
          <w:sz w:val="32"/>
          <w:szCs w:val="32"/>
        </w:rPr>
        <w:t>多管齐下施策，优化学前教育师资队伍。</w:t>
      </w:r>
      <w:r>
        <w:rPr>
          <w:rFonts w:hint="eastAsia" w:ascii="仿宋_GB2312" w:hAnsi="仿宋_GB2312" w:eastAsia="仿宋_GB2312" w:cs="仿宋_GB2312"/>
          <w:b/>
          <w:i w:val="0"/>
          <w:caps w:val="0"/>
          <w:color w:val="000000"/>
          <w:spacing w:val="0"/>
          <w:w w:val="100"/>
          <w:kern w:val="2"/>
          <w:sz w:val="32"/>
          <w:szCs w:val="32"/>
        </w:rPr>
        <w:t>一是</w:t>
      </w:r>
      <w:r>
        <w:rPr>
          <w:rFonts w:hint="eastAsia" w:ascii="仿宋_GB2312" w:hAnsi="仿宋_GB2312" w:eastAsia="仿宋_GB2312" w:cs="仿宋_GB2312"/>
          <w:b w:val="0"/>
          <w:i w:val="0"/>
          <w:caps w:val="0"/>
          <w:color w:val="000000"/>
          <w:spacing w:val="0"/>
          <w:w w:val="100"/>
          <w:kern w:val="2"/>
          <w:sz w:val="32"/>
          <w:szCs w:val="32"/>
        </w:rPr>
        <w:t>加强师风师德建设。为建设一支师德高尚、业务精湛、爱岗敬业、教书育人的幼儿园教师队伍，根据上级有关文件，印发《关于开展中小学校和在职中小学教师有偿补课问题整治工作的通知》（饶教通〔2017〕360号）、《饶平县中小学教师师德考核办法（试行）》的通知（饶教〔2018〕3号）等文件，把师德教育渗透到教师日常工作和培训的全过程，落实师德建设长效机制。</w:t>
      </w:r>
      <w:r>
        <w:rPr>
          <w:rFonts w:hint="eastAsia" w:ascii="仿宋_GB2312" w:hAnsi="仿宋_GB2312" w:eastAsia="仿宋_GB2312" w:cs="仿宋_GB2312"/>
          <w:b/>
          <w:i w:val="0"/>
          <w:caps w:val="0"/>
          <w:color w:val="000000"/>
          <w:spacing w:val="0"/>
          <w:w w:val="100"/>
          <w:kern w:val="2"/>
          <w:sz w:val="32"/>
          <w:szCs w:val="32"/>
        </w:rPr>
        <w:t>二是</w:t>
      </w:r>
      <w:r>
        <w:rPr>
          <w:rFonts w:hint="eastAsia" w:ascii="仿宋_GB2312" w:hAnsi="仿宋_GB2312" w:eastAsia="仿宋_GB2312" w:cs="仿宋_GB2312"/>
          <w:b w:val="0"/>
          <w:i w:val="0"/>
          <w:caps w:val="0"/>
          <w:color w:val="000000"/>
          <w:spacing w:val="0"/>
          <w:w w:val="100"/>
          <w:kern w:val="2"/>
          <w:sz w:val="32"/>
          <w:szCs w:val="32"/>
        </w:rPr>
        <w:t>加强幼儿园教师能力素质提升培训。首先是加强幼儿园园长、幼儿教师培训。制订《饶平县教育局2017－2020年度培训计划》（饶教〔2017〕25号），面向全县各类幼儿园，分期分批对园长进行培训，有效提高园长的整体素质和管理水平；其次是实施幼儿园教师学历提升工程。</w:t>
      </w:r>
      <w:r>
        <w:rPr>
          <w:rFonts w:hint="eastAsia" w:ascii="仿宋_GB2312" w:hAnsi="仿宋_GB2312" w:eastAsia="仿宋_GB2312" w:cs="仿宋_GB2312"/>
          <w:b w:val="0"/>
          <w:i w:val="0"/>
          <w:caps w:val="0"/>
          <w:color w:val="000000"/>
          <w:spacing w:val="0"/>
          <w:w w:val="100"/>
          <w:kern w:val="2"/>
          <w:sz w:val="32"/>
          <w:szCs w:val="32"/>
          <w:u w:val="none"/>
        </w:rPr>
        <w:t>结合创现要求，</w:t>
      </w:r>
      <w:r>
        <w:rPr>
          <w:rFonts w:hint="eastAsia" w:ascii="仿宋_GB2312" w:hAnsi="仿宋_GB2312" w:eastAsia="仿宋_GB2312" w:cs="仿宋_GB2312"/>
          <w:b w:val="0"/>
          <w:i w:val="0"/>
          <w:caps w:val="0"/>
          <w:color w:val="000000"/>
          <w:spacing w:val="0"/>
          <w:w w:val="100"/>
          <w:kern w:val="2"/>
          <w:sz w:val="32"/>
          <w:szCs w:val="32"/>
        </w:rPr>
        <w:t>印发《饶平县中小学（幼儿园）教师学历提升工程实施方案（2016-2020年）》，鼓励饶平县公办学校（幼儿园）在职在编教师进行学历提升，对参加学历提升培训的教师予以</w:t>
      </w:r>
      <w:r>
        <w:rPr>
          <w:rFonts w:hint="eastAsia" w:ascii="仿宋_GB2312" w:hAnsi="仿宋_GB2312" w:eastAsia="仿宋_GB2312" w:cs="仿宋_GB2312"/>
          <w:b w:val="0"/>
          <w:i w:val="0"/>
          <w:caps w:val="0"/>
          <w:color w:val="000000"/>
          <w:spacing w:val="0"/>
          <w:w w:val="100"/>
          <w:kern w:val="2"/>
          <w:sz w:val="32"/>
          <w:szCs w:val="32"/>
          <w:u w:val="none"/>
        </w:rPr>
        <w:t>补助</w:t>
      </w:r>
      <w:r>
        <w:rPr>
          <w:rFonts w:hint="eastAsia" w:ascii="仿宋_GB2312" w:hAnsi="仿宋_GB2312" w:eastAsia="仿宋_GB2312" w:cs="仿宋_GB2312"/>
          <w:b w:val="0"/>
          <w:i w:val="0"/>
          <w:caps w:val="0"/>
          <w:color w:val="000000"/>
          <w:spacing w:val="0"/>
          <w:w w:val="100"/>
          <w:kern w:val="2"/>
          <w:sz w:val="32"/>
          <w:szCs w:val="32"/>
        </w:rPr>
        <w:t>，有效提高了幼儿园教师的学历水平和专业能力。</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kern w:val="2"/>
          <w:sz w:val="32"/>
          <w:szCs w:val="32"/>
          <w:lang w:eastAsia="zh-CN"/>
        </w:rPr>
      </w:pPr>
      <w:r>
        <w:rPr>
          <w:rFonts w:hint="eastAsia" w:ascii="仿宋_GB2312" w:hAnsi="仿宋_GB2312" w:eastAsia="仿宋_GB2312" w:cs="仿宋_GB2312"/>
          <w:b w:val="0"/>
          <w:i w:val="0"/>
          <w:caps w:val="0"/>
          <w:color w:val="000000"/>
          <w:spacing w:val="0"/>
          <w:w w:val="100"/>
          <w:kern w:val="2"/>
          <w:sz w:val="32"/>
          <w:szCs w:val="32"/>
          <w:lang w:eastAsia="zh-CN"/>
        </w:rPr>
        <w:drawing>
          <wp:inline distT="0" distB="0" distL="114300" distR="114300">
            <wp:extent cx="5267325" cy="3952875"/>
            <wp:effectExtent l="0" t="0" r="9525" b="9525"/>
            <wp:docPr id="6" name="图片 6" descr="微信图片_2021041509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415095109"/>
                    <pic:cNvPicPr>
                      <a:picLocks noChangeAspect="1"/>
                    </pic:cNvPicPr>
                  </pic:nvPicPr>
                  <pic:blipFill>
                    <a:blip r:embed="rId13"/>
                    <a:stretch>
                      <a:fillRect/>
                    </a:stretch>
                  </pic:blipFill>
                  <pic:spPr>
                    <a:xfrm>
                      <a:off x="0" y="0"/>
                      <a:ext cx="5267325" cy="3952875"/>
                    </a:xfrm>
                    <a:prstGeom prst="rect">
                      <a:avLst/>
                    </a:prstGeom>
                  </pic:spPr>
                </pic:pic>
              </a:graphicData>
            </a:graphic>
          </wp:inline>
        </w:drawing>
      </w:r>
      <w:r>
        <w:rPr>
          <w:rFonts w:hint="eastAsia" w:ascii="仿宋_GB2312" w:hAnsi="仿宋_GB2312" w:eastAsia="仿宋_GB2312" w:cs="仿宋_GB2312"/>
          <w:b w:val="0"/>
          <w:i w:val="0"/>
          <w:caps w:val="0"/>
          <w:color w:val="000000"/>
          <w:spacing w:val="0"/>
          <w:w w:val="100"/>
          <w:kern w:val="2"/>
          <w:sz w:val="32"/>
          <w:szCs w:val="32"/>
          <w:lang w:eastAsia="zh-CN"/>
        </w:rPr>
        <w:drawing>
          <wp:inline distT="0" distB="0" distL="114300" distR="114300">
            <wp:extent cx="5273040" cy="3506470"/>
            <wp:effectExtent l="0" t="0" r="3810" b="17780"/>
            <wp:docPr id="7" name="图片 7" descr="微信图片_202104150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415095101"/>
                    <pic:cNvPicPr>
                      <a:picLocks noChangeAspect="1"/>
                    </pic:cNvPicPr>
                  </pic:nvPicPr>
                  <pic:blipFill>
                    <a:blip r:embed="rId14"/>
                    <a:stretch>
                      <a:fillRect/>
                    </a:stretch>
                  </pic:blipFill>
                  <pic:spPr>
                    <a:xfrm>
                      <a:off x="0" y="0"/>
                      <a:ext cx="5273040" cy="3506470"/>
                    </a:xfrm>
                    <a:prstGeom prst="rect">
                      <a:avLst/>
                    </a:prstGeom>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rPr>
      </w:pPr>
      <w:r>
        <w:rPr>
          <w:rFonts w:hint="eastAsia" w:ascii="仿宋_GB2312" w:hAnsi="仿宋_GB2312" w:eastAsia="仿宋_GB2312" w:cs="仿宋_GB2312"/>
          <w:b/>
          <w:i w:val="0"/>
          <w:caps w:val="0"/>
          <w:color w:val="000000"/>
          <w:spacing w:val="0"/>
          <w:w w:val="100"/>
          <w:sz w:val="32"/>
          <w:szCs w:val="32"/>
        </w:rPr>
        <w:t>狠抓科学保教，提升教研教育质量。一是</w:t>
      </w:r>
      <w:r>
        <w:rPr>
          <w:rFonts w:hint="eastAsia" w:ascii="仿宋_GB2312" w:hAnsi="仿宋_GB2312" w:eastAsia="仿宋_GB2312" w:cs="仿宋_GB2312"/>
          <w:b w:val="0"/>
          <w:i w:val="0"/>
          <w:caps w:val="0"/>
          <w:color w:val="000000"/>
          <w:spacing w:val="0"/>
          <w:w w:val="100"/>
          <w:sz w:val="32"/>
          <w:szCs w:val="32"/>
        </w:rPr>
        <w:t>贯彻落实好《3-6岁儿童学习与发展指南》《广东省幼儿园一日生活指引（试行）》，通过“自我学习、园本培训、分层次培训、家园联系”等形式，切实的把科学的教育方法落实到幼儿园保教工作的各个环节，促进幼儿身心全面发展。</w:t>
      </w:r>
      <w:r>
        <w:rPr>
          <w:rFonts w:hint="eastAsia" w:ascii="仿宋_GB2312" w:hAnsi="仿宋_GB2312" w:eastAsia="仿宋_GB2312" w:cs="仿宋_GB2312"/>
          <w:b/>
          <w:i w:val="0"/>
          <w:caps w:val="0"/>
          <w:color w:val="000000"/>
          <w:spacing w:val="0"/>
          <w:w w:val="100"/>
          <w:sz w:val="32"/>
          <w:szCs w:val="32"/>
        </w:rPr>
        <w:t>二是</w:t>
      </w:r>
      <w:r>
        <w:rPr>
          <w:rFonts w:hint="eastAsia" w:ascii="仿宋_GB2312" w:hAnsi="仿宋_GB2312" w:eastAsia="仿宋_GB2312" w:cs="仿宋_GB2312"/>
          <w:b w:val="0"/>
          <w:i w:val="0"/>
          <w:caps w:val="0"/>
          <w:color w:val="000000"/>
          <w:spacing w:val="0"/>
          <w:w w:val="100"/>
          <w:sz w:val="32"/>
          <w:szCs w:val="32"/>
        </w:rPr>
        <w:t>开展幼儿园“小学化”专项治理工作，防止“小学化”倾向。</w:t>
      </w:r>
      <w:r>
        <w:rPr>
          <w:rFonts w:hint="eastAsia" w:ascii="仿宋_GB2312" w:hAnsi="仿宋_GB2312" w:eastAsia="仿宋_GB2312" w:cs="仿宋_GB2312"/>
          <w:b/>
          <w:i w:val="0"/>
          <w:caps w:val="0"/>
          <w:color w:val="000000"/>
          <w:spacing w:val="0"/>
          <w:w w:val="100"/>
          <w:sz w:val="32"/>
          <w:szCs w:val="32"/>
        </w:rPr>
        <w:t>三是</w:t>
      </w:r>
      <w:r>
        <w:rPr>
          <w:rFonts w:hint="eastAsia" w:ascii="仿宋_GB2312" w:hAnsi="仿宋_GB2312" w:eastAsia="仿宋_GB2312" w:cs="仿宋_GB2312"/>
          <w:b w:val="0"/>
          <w:i w:val="0"/>
          <w:caps w:val="0"/>
          <w:color w:val="000000"/>
          <w:spacing w:val="0"/>
          <w:w w:val="100"/>
          <w:sz w:val="32"/>
          <w:szCs w:val="32"/>
        </w:rPr>
        <w:t>制定实施《关于建立全县学前教育教研指导责任区制度的实施方案》，落实教研指导责任区制度，各镇配备至少1名学前教育专（兼）职干部，承担本辖区学前教育管理和教研业务指导。</w:t>
      </w:r>
      <w:r>
        <w:rPr>
          <w:rFonts w:hint="eastAsia" w:ascii="仿宋_GB2312" w:hAnsi="仿宋_GB2312" w:eastAsia="仿宋_GB2312" w:cs="仿宋_GB2312"/>
          <w:b/>
          <w:i w:val="0"/>
          <w:caps w:val="0"/>
          <w:color w:val="000000"/>
          <w:spacing w:val="0"/>
          <w:w w:val="100"/>
          <w:sz w:val="32"/>
          <w:szCs w:val="32"/>
        </w:rPr>
        <w:t>四是</w:t>
      </w:r>
      <w:r>
        <w:rPr>
          <w:rFonts w:hint="eastAsia" w:ascii="仿宋_GB2312" w:hAnsi="仿宋_GB2312" w:eastAsia="仿宋_GB2312" w:cs="仿宋_GB2312"/>
          <w:b w:val="0"/>
          <w:i w:val="0"/>
          <w:caps w:val="0"/>
          <w:color w:val="000000"/>
          <w:spacing w:val="0"/>
          <w:w w:val="100"/>
          <w:sz w:val="32"/>
          <w:szCs w:val="32"/>
        </w:rPr>
        <w:t>发挥优质园的引领作用。利用县、镇中心园、培英幼儿园、中英文幼儿园等优质幼儿园的辐射带动作用，加强对薄弱园的专业引领和实践指导。</w:t>
      </w: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273040" cy="3513455"/>
            <wp:effectExtent l="0" t="0" r="3810" b="10795"/>
            <wp:docPr id="8" name="图片 8" descr="微信图片_2021041509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15095040"/>
                    <pic:cNvPicPr>
                      <a:picLocks noChangeAspect="1"/>
                    </pic:cNvPicPr>
                  </pic:nvPicPr>
                  <pic:blipFill>
                    <a:blip r:embed="rId15"/>
                    <a:stretch>
                      <a:fillRect/>
                    </a:stretch>
                  </pic:blipFill>
                  <pic:spPr>
                    <a:xfrm>
                      <a:off x="0" y="0"/>
                      <a:ext cx="5273040" cy="3513455"/>
                    </a:xfrm>
                    <a:prstGeom prst="rect">
                      <a:avLst/>
                    </a:prstGeom>
                  </pic:spPr>
                </pic:pic>
              </a:graphicData>
            </a:graphic>
          </wp:inline>
        </w:drawing>
      </w:r>
      <w:r>
        <w:rPr>
          <w:rFonts w:hint="eastAsia" w:ascii="仿宋_GB2312" w:hAnsi="仿宋_GB2312" w:eastAsia="仿宋_GB2312" w:cs="仿宋_GB2312"/>
          <w:b w:val="0"/>
          <w:i w:val="0"/>
          <w:caps w:val="0"/>
          <w:color w:val="000000"/>
          <w:spacing w:val="0"/>
          <w:w w:val="100"/>
          <w:sz w:val="32"/>
          <w:szCs w:val="32"/>
          <w:lang w:eastAsia="zh-CN"/>
        </w:rPr>
        <w:drawing>
          <wp:inline distT="0" distB="0" distL="114300" distR="114300">
            <wp:extent cx="5273040" cy="3513455"/>
            <wp:effectExtent l="0" t="0" r="3810" b="10795"/>
            <wp:docPr id="9" name="图片 9" descr="微信图片_2021041509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415095033"/>
                    <pic:cNvPicPr>
                      <a:picLocks noChangeAspect="1"/>
                    </pic:cNvPicPr>
                  </pic:nvPicPr>
                  <pic:blipFill>
                    <a:blip r:embed="rId16"/>
                    <a:stretch>
                      <a:fillRect/>
                    </a:stretch>
                  </pic:blipFill>
                  <pic:spPr>
                    <a:xfrm>
                      <a:off x="0" y="0"/>
                      <a:ext cx="5273040" cy="3513455"/>
                    </a:xfrm>
                    <a:prstGeom prst="rect">
                      <a:avLst/>
                    </a:prstGeom>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baseline"/>
        <w:rPr>
          <w:rFonts w:hint="eastAsia"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i w:val="0"/>
          <w:caps w:val="0"/>
          <w:spacing w:val="0"/>
          <w:w w:val="100"/>
          <w:sz w:val="32"/>
          <w:szCs w:val="32"/>
        </w:rPr>
        <w:t>强化幼儿园办学行为监管。</w:t>
      </w:r>
      <w:r>
        <w:rPr>
          <w:rFonts w:hint="eastAsia" w:ascii="仿宋_GB2312" w:hAnsi="仿宋_GB2312" w:eastAsia="仿宋_GB2312" w:cs="仿宋_GB2312"/>
          <w:b w:val="0"/>
          <w:i w:val="0"/>
          <w:caps w:val="0"/>
          <w:spacing w:val="0"/>
          <w:w w:val="100"/>
          <w:sz w:val="32"/>
          <w:szCs w:val="32"/>
        </w:rPr>
        <w:t>根据教育部和广东省教育厅的有关文件要求，利用《教育部幼儿园办园行为督导评估系统》开展幼儿园办园行为督导评估工作，结合县幼儿园办园行为督导评估周期规划，在全县幼儿园全面自评的基础上，成立由局领导任组长的规范化幼儿园及办园行为督导评估领导小组，领导小组下设3个评估组（由督导室、教育股、安全办、体卫艺股及部分学前教研中心组成员组成），每年随机抽取部分幼儿园，对幼儿园办园行为进行实地督导，对督导中发现的存在问题及时责令整改。</w:t>
      </w: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spacing w:val="0"/>
          <w:w w:val="100"/>
          <w:sz w:val="32"/>
          <w:szCs w:val="32"/>
          <w:lang w:eastAsia="zh-CN"/>
        </w:rPr>
      </w:pPr>
      <w:r>
        <w:rPr>
          <w:rFonts w:hint="eastAsia" w:ascii="仿宋_GB2312" w:hAnsi="仿宋_GB2312" w:eastAsia="仿宋_GB2312" w:cs="仿宋_GB2312"/>
          <w:b w:val="0"/>
          <w:i w:val="0"/>
          <w:caps w:val="0"/>
          <w:spacing w:val="0"/>
          <w:w w:val="100"/>
          <w:sz w:val="32"/>
          <w:szCs w:val="32"/>
          <w:lang w:eastAsia="zh-CN"/>
        </w:rPr>
        <w:drawing>
          <wp:inline distT="0" distB="0" distL="114300" distR="114300">
            <wp:extent cx="5267325" cy="3952875"/>
            <wp:effectExtent l="0" t="0" r="9525" b="9525"/>
            <wp:docPr id="10" name="图片 10" descr="微信图片_202104151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415102235"/>
                    <pic:cNvPicPr>
                      <a:picLocks noChangeAspect="1"/>
                    </pic:cNvPicPr>
                  </pic:nvPicPr>
                  <pic:blipFill>
                    <a:blip r:embed="rId17"/>
                    <a:stretch>
                      <a:fillRect/>
                    </a:stretch>
                  </pic:blipFill>
                  <pic:spPr>
                    <a:xfrm>
                      <a:off x="0" y="0"/>
                      <a:ext cx="5267325" cy="395287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spacing w:val="0"/>
          <w:w w:val="100"/>
          <w:sz w:val="32"/>
          <w:szCs w:val="32"/>
          <w:lang w:eastAsia="zh-CN"/>
        </w:rPr>
      </w:pPr>
    </w:p>
    <w:p>
      <w:pPr>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spacing w:val="0"/>
          <w:w w:val="100"/>
          <w:sz w:val="32"/>
          <w:szCs w:val="32"/>
          <w:lang w:eastAsia="zh-CN"/>
        </w:rPr>
      </w:pPr>
      <w:r>
        <w:rPr>
          <w:rFonts w:hint="eastAsia" w:ascii="仿宋_GB2312" w:hAnsi="仿宋_GB2312" w:eastAsia="仿宋_GB2312" w:cs="仿宋_GB2312"/>
          <w:b w:val="0"/>
          <w:i w:val="0"/>
          <w:caps w:val="0"/>
          <w:spacing w:val="0"/>
          <w:w w:val="100"/>
          <w:sz w:val="32"/>
          <w:szCs w:val="32"/>
          <w:lang w:eastAsia="zh-CN"/>
        </w:rPr>
        <w:drawing>
          <wp:inline distT="0" distB="0" distL="114300" distR="114300">
            <wp:extent cx="5266690" cy="3950335"/>
            <wp:effectExtent l="0" t="0" r="10160" b="12065"/>
            <wp:docPr id="11" name="图片 11" descr="微信图片_202104151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415103016"/>
                    <pic:cNvPicPr>
                      <a:picLocks noChangeAspect="1"/>
                    </pic:cNvPicPr>
                  </pic:nvPicPr>
                  <pic:blipFill>
                    <a:blip r:embed="rId18"/>
                    <a:stretch>
                      <a:fillRect/>
                    </a:stretch>
                  </pic:blipFill>
                  <pic:spPr>
                    <a:xfrm>
                      <a:off x="0" y="0"/>
                      <a:ext cx="5266690" cy="395033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kern w:val="0"/>
          <w:sz w:val="32"/>
          <w:szCs w:val="32"/>
        </w:rPr>
      </w:pPr>
      <w:r>
        <w:rPr>
          <w:rFonts w:hint="eastAsia" w:ascii="仿宋_GB2312" w:hAnsi="仿宋_GB2312" w:eastAsia="仿宋_GB2312" w:cs="仿宋_GB2312"/>
          <w:b/>
          <w:bCs/>
          <w:i w:val="0"/>
          <w:caps w:val="0"/>
          <w:spacing w:val="0"/>
          <w:w w:val="100"/>
          <w:kern w:val="0"/>
          <w:sz w:val="32"/>
          <w:szCs w:val="32"/>
        </w:rPr>
        <w:t>（六）建立财政性学前教育经费保障机制。</w:t>
      </w:r>
      <w:r>
        <w:rPr>
          <w:rFonts w:hint="eastAsia" w:ascii="仿宋_GB2312" w:hAnsi="仿宋_GB2312" w:eastAsia="仿宋_GB2312" w:cs="仿宋_GB2312"/>
          <w:b w:val="0"/>
          <w:i w:val="0"/>
          <w:caps w:val="0"/>
          <w:spacing w:val="0"/>
          <w:w w:val="100"/>
          <w:kern w:val="0"/>
          <w:sz w:val="32"/>
          <w:szCs w:val="32"/>
        </w:rPr>
        <w:t>饶平县教育局与饶平县财政局联合制订《关于建立学前教育生均经费拨款制度的通知》（饶财行</w:t>
      </w:r>
      <w:r>
        <w:rPr>
          <w:rFonts w:hint="eastAsia" w:ascii="仿宋_GB2312" w:hAnsi="仿宋_GB2312" w:eastAsia="仿宋_GB2312" w:cs="仿宋_GB2312"/>
          <w:b w:val="0"/>
          <w:bCs/>
          <w:i w:val="0"/>
          <w:caps w:val="0"/>
          <w:spacing w:val="0"/>
          <w:w w:val="100"/>
          <w:kern w:val="0"/>
          <w:sz w:val="32"/>
          <w:szCs w:val="32"/>
        </w:rPr>
        <w:t>〔2019〕</w:t>
      </w:r>
      <w:r>
        <w:rPr>
          <w:rFonts w:hint="eastAsia" w:ascii="仿宋_GB2312" w:hAnsi="仿宋_GB2312" w:eastAsia="仿宋_GB2312" w:cs="仿宋_GB2312"/>
          <w:b w:val="0"/>
          <w:i w:val="0"/>
          <w:caps w:val="0"/>
          <w:spacing w:val="0"/>
          <w:w w:val="100"/>
          <w:kern w:val="0"/>
          <w:sz w:val="32"/>
          <w:szCs w:val="32"/>
        </w:rPr>
        <w:t>2号），明确拨款对象、标准和资金用途,完善学前教育经费保障,推动学前教育事业普惠健康有序发展；生均公用经费标准为2019年300元/生，2020年400元/生，2021年500元/生；普惠性民办幼儿园财政补助标准所需经费在2019年已纳入本级财政预算。于2019年开始对普惠民办幼儿园参照本县公办幼儿园生均公</w:t>
      </w:r>
      <w:r>
        <w:rPr>
          <w:rFonts w:hint="eastAsia" w:ascii="仿宋_GB2312" w:hAnsi="仿宋_GB2312" w:eastAsia="仿宋_GB2312" w:cs="仿宋_GB2312"/>
          <w:b w:val="0"/>
          <w:i w:val="0"/>
          <w:caps w:val="0"/>
          <w:color w:val="auto"/>
          <w:spacing w:val="0"/>
          <w:w w:val="100"/>
          <w:kern w:val="0"/>
          <w:sz w:val="32"/>
          <w:szCs w:val="32"/>
        </w:rPr>
        <w:t>用经费财政拨款标准给予经费补助，由民办幼儿园统筹用于保障运行管理各项支出，有效推动民办幼儿园健康发展。</w:t>
      </w:r>
    </w:p>
    <w:p>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shd w:val="clear" w:fill="FFFFFF"/>
        </w:rPr>
      </w:pPr>
      <w:r>
        <w:rPr>
          <w:rFonts w:hint="eastAsia" w:ascii="仿宋_GB2312" w:hAnsi="仿宋_GB2312" w:eastAsia="仿宋_GB2312" w:cs="仿宋_GB2312"/>
          <w:b w:val="0"/>
          <w:i w:val="0"/>
          <w:caps w:val="0"/>
          <w:color w:val="auto"/>
          <w:spacing w:val="0"/>
          <w:w w:val="100"/>
          <w:sz w:val="32"/>
          <w:szCs w:val="32"/>
          <w:shd w:val="clear" w:fill="FFFFFF"/>
        </w:rPr>
        <w:t>未来，饶平</w:t>
      </w:r>
      <w:r>
        <w:rPr>
          <w:rFonts w:hint="eastAsia" w:ascii="仿宋_GB2312" w:hAnsi="仿宋_GB2312" w:eastAsia="仿宋_GB2312" w:cs="仿宋_GB2312"/>
          <w:b w:val="0"/>
          <w:i w:val="0"/>
          <w:caps w:val="0"/>
          <w:color w:val="auto"/>
          <w:spacing w:val="0"/>
          <w:w w:val="100"/>
          <w:sz w:val="32"/>
          <w:szCs w:val="32"/>
          <w:shd w:val="clear" w:fill="FFFFFF"/>
          <w:lang w:val="en-US" w:eastAsia="zh-CN"/>
        </w:rPr>
        <w:t>县</w:t>
      </w:r>
      <w:r>
        <w:rPr>
          <w:rFonts w:hint="eastAsia" w:ascii="仿宋_GB2312" w:hAnsi="仿宋_GB2312" w:eastAsia="仿宋_GB2312" w:cs="仿宋_GB2312"/>
          <w:b w:val="0"/>
          <w:i w:val="0"/>
          <w:caps w:val="0"/>
          <w:color w:val="auto"/>
          <w:spacing w:val="0"/>
          <w:w w:val="100"/>
          <w:sz w:val="32"/>
          <w:szCs w:val="32"/>
          <w:shd w:val="clear" w:fill="FFFFFF"/>
        </w:rPr>
        <w:t>将继续高度重视幼儿园学位建设，持续推进学前教育创新发展，综合研判学位供需情况，坚持问题导向、目标导向、民生导向，全力办好人民满意的学前教育。</w:t>
      </w:r>
    </w:p>
    <w:p>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 w:hAnsi="仿宋" w:eastAsia="仿宋" w:cs="仿宋"/>
          <w:b w:val="0"/>
          <w:i w:val="0"/>
          <w:caps w:val="0"/>
          <w:color w:val="333333"/>
          <w:spacing w:val="0"/>
          <w:w w:val="100"/>
          <w:sz w:val="32"/>
          <w:szCs w:val="32"/>
          <w:shd w:val="clear" w:fill="FFFFFF"/>
        </w:rPr>
      </w:pPr>
    </w:p>
    <w:p>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 w:hAnsi="仿宋" w:eastAsia="仿宋" w:cs="仿宋"/>
          <w:b w:val="0"/>
          <w:i w:val="0"/>
          <w:caps w:val="0"/>
          <w:color w:val="333333"/>
          <w:spacing w:val="0"/>
          <w:w w:val="100"/>
          <w:sz w:val="32"/>
          <w:szCs w:val="32"/>
          <w:shd w:val="clear" w:fill="FFFFFF"/>
        </w:rPr>
      </w:pPr>
    </w:p>
    <w:p>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 w:hAnsi="仿宋" w:eastAsia="仿宋" w:cs="仿宋"/>
          <w:b w:val="0"/>
          <w:i w:val="0"/>
          <w:caps w:val="0"/>
          <w:color w:val="333333"/>
          <w:spacing w:val="0"/>
          <w:w w:val="100"/>
          <w:sz w:val="32"/>
          <w:szCs w:val="32"/>
          <w:shd w:val="clear" w:fill="FFFFFF"/>
        </w:rPr>
      </w:pPr>
    </w:p>
    <w:p>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eastAsia" w:ascii="仿宋_GB2312" w:hAnsi="仿宋_GB2312" w:eastAsia="仿宋_GB2312" w:cs="仿宋_GB2312"/>
          <w:b w:val="0"/>
          <w:bCs/>
          <w:i w:val="0"/>
          <w:caps w:val="0"/>
          <w:spacing w:val="0"/>
          <w:w w:val="100"/>
          <w:kern w:val="0"/>
          <w:sz w:val="32"/>
          <w:szCs w:val="32"/>
        </w:rPr>
      </w:pPr>
      <w:r>
        <w:rPr>
          <w:rFonts w:hint="eastAsia" w:ascii="仿宋" w:hAnsi="仿宋" w:eastAsia="仿宋" w:cs="仿宋"/>
          <w:b w:val="0"/>
          <w:i w:val="0"/>
          <w:caps w:val="0"/>
          <w:spacing w:val="0"/>
          <w:w w:val="100"/>
          <w:kern w:val="0"/>
          <w:sz w:val="32"/>
          <w:szCs w:val="32"/>
        </w:rPr>
        <w:t xml:space="preserve">                 </w:t>
      </w:r>
      <w:bookmarkStart w:id="0" w:name="_GoBack"/>
      <w:bookmarkEnd w:id="0"/>
    </w:p>
    <w:p>
      <w:pPr>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baseline"/>
        <w:rPr>
          <w:rFonts w:hint="eastAsia" w:ascii="仿宋_GB2312" w:hAnsi="仿宋_GB2312" w:eastAsia="仿宋_GB2312" w:cs="仿宋_GB2312"/>
          <w:b w:val="0"/>
          <w:i w:val="0"/>
          <w:caps w:val="0"/>
          <w:spacing w:val="0"/>
          <w:w w:val="10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F4FB3A"/>
    <w:multiLevelType w:val="singleLevel"/>
    <w:tmpl w:val="D5F4FB3A"/>
    <w:lvl w:ilvl="0" w:tentative="0">
      <w:start w:val="1"/>
      <w:numFmt w:val="chineseCounting"/>
      <w:suff w:val="nothing"/>
      <w:lvlText w:val="（%1）"/>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D26"/>
    <w:rsid w:val="000C64CF"/>
    <w:rsid w:val="003E2FCE"/>
    <w:rsid w:val="0062745E"/>
    <w:rsid w:val="00934BC0"/>
    <w:rsid w:val="009E08AE"/>
    <w:rsid w:val="00D207A8"/>
    <w:rsid w:val="00D31BF9"/>
    <w:rsid w:val="00DA434A"/>
    <w:rsid w:val="00ED3E7F"/>
    <w:rsid w:val="00F13D26"/>
    <w:rsid w:val="18623A30"/>
    <w:rsid w:val="281C211F"/>
    <w:rsid w:val="2F7E3684"/>
    <w:rsid w:val="33D87887"/>
    <w:rsid w:val="34DF5FAF"/>
    <w:rsid w:val="48945ECB"/>
    <w:rsid w:val="49F23A1F"/>
    <w:rsid w:val="4A0A380B"/>
    <w:rsid w:val="62A267E9"/>
    <w:rsid w:val="62FC1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jc w:val="left"/>
    </w:pPr>
    <w:rPr>
      <w:kern w:val="0"/>
      <w:sz w:val="24"/>
    </w:rPr>
  </w:style>
  <w:style w:type="character" w:styleId="5">
    <w:name w:val="Strong"/>
    <w:qFormat/>
    <w:uiPriority w:val="0"/>
    <w:rPr>
      <w:b/>
    </w:rPr>
  </w:style>
  <w:style w:type="paragraph" w:customStyle="1" w:styleId="6">
    <w:name w:val="p0"/>
    <w:basedOn w:val="1"/>
    <w:qFormat/>
    <w:uiPriority w:val="0"/>
    <w:pPr>
      <w:widowControl/>
    </w:pPr>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487</Words>
  <Characters>2777</Characters>
  <Lines>23</Lines>
  <Paragraphs>6</Paragraphs>
  <TotalTime>40</TotalTime>
  <ScaleCrop>false</ScaleCrop>
  <LinksUpToDate>false</LinksUpToDate>
  <CharactersWithSpaces>3258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2021-01-24T23:01:00Z</dcterms:created>
  <dc:creator>xb21cn</dc:creator>
  <cp:lastModifiedBy>J</cp:lastModifiedBy>
  <dcterms:modified xsi:type="dcterms:W3CDTF">2021-05-20T00:54:06Z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41442ECE19C5413BACF0F97F442A8843</vt:lpwstr>
  </property>
</Properties>
</file>