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潮州市农业科技研究与示范项目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验收实施方案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890" w:firstLineChars="9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《关于印发&lt;潮州市发展现代农业产业专项资金项目建设方案&gt;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sz w:val="32"/>
          <w:szCs w:val="32"/>
        </w:rPr>
        <w:t>》（潮农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</w:rPr>
        <w:t>226号）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《关于印发&lt;潮州市现代农业产业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管理办法（试行）</w:t>
      </w:r>
      <w:r>
        <w:rPr>
          <w:rFonts w:hint="eastAsia"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  <w:lang w:eastAsia="zh-CN"/>
        </w:rPr>
        <w:t>潮农〔2019〕22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号）精神，为切实做好潮州市农业科技研究与示范项目的验收工作，确保项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目发挥应有效益，特制定本验收实施方案。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验收对象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潮州市发展现代农业产业专项资金项目建设方案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中的农业科技研究与示范项目。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二、验收前提条件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1、已完成项目合同书规定的实施内容和各项指标；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2、技术资料和有关文件齐全，内容真实可靠。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验收材料及要求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项目申请验收应提交以下材料：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项目验收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，其中县区项目验收申请须有主管部门签署同意意见；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潮州市农业科技研究与示范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项目验收证书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项目合同书复印件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下达计划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文件复印件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项目实施工作总结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包括：技术研究内容；技术研究过程；合同规定预期目标和实际完成情况（包括主要技术指标、经济指标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、技术培训推广情况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和研究成果及形式等）；有关试验和检测情况；分工合作情况；项目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使用情况（附仪器设备等固定资产购置清单）；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应用效益证明（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三份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项目资金支出明细表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及相关票据；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8、其他附件（科技查新报告、检测报告、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培训材料、相关照片等）。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四、验收组织形式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农业农村局负责组织项目验收工作，县区农业农村局协助本区域内的项目验收工作。采用现场会议的验收形式，组织验收专家组通过现场考察、听取项目承担单位的项目执行情况介绍、查阅验收材料，质询讨论等程序，形成验收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项目验收不通过的，及时整改完善资料后再申请验收。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项目验收通过后，项目承担单位要及时将验收材料一式二份（其中验收证书一式三份）报送至市农业农村局科技教育科。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E76C"/>
    <w:multiLevelType w:val="singleLevel"/>
    <w:tmpl w:val="5F6FE76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71FD1"/>
    <w:rsid w:val="60371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2020-09-29T08:48:00Z</dcterms:created>
  <dc:creator>222</dc:creator>
  <cp:lastModifiedBy>222</cp:lastModifiedBy>
  <dcterms:modified xsi:type="dcterms:W3CDTF">2020-09-29T08:50:11Z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