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宋体" w:hAnsi="宋体" w:cs="宋体" w:eastAsiaTheme="minorEastAsia"/>
          <w:b/>
          <w:bCs/>
          <w:kern w:val="0"/>
          <w:sz w:val="32"/>
          <w:szCs w:val="32"/>
          <w:lang w:val="en-US" w:eastAsia="zh-CN" w:bidi="ar-SA"/>
        </w:rPr>
      </w:pPr>
      <w:r>
        <w:rPr>
          <w:rFonts w:hint="eastAsia" w:ascii="宋体" w:hAnsi="宋体" w:cs="宋体" w:eastAsiaTheme="minorEastAsia"/>
          <w:b/>
          <w:bCs/>
          <w:kern w:val="0"/>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潮州市</w:t>
      </w:r>
      <w:r>
        <w:rPr>
          <w:rFonts w:hint="eastAsia" w:ascii="方正小标宋简体" w:hAnsi="方正小标宋简体" w:eastAsia="方正小标宋简体" w:cs="方正小标宋简体"/>
          <w:sz w:val="44"/>
          <w:szCs w:val="44"/>
        </w:rPr>
        <w:t>科技创新发展20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年工作</w:t>
      </w:r>
      <w:r>
        <w:rPr>
          <w:rFonts w:hint="eastAsia" w:ascii="方正小标宋简体" w:hAnsi="方正小标宋简体" w:eastAsia="方正小标宋简体" w:cs="方正小标宋简体"/>
          <w:sz w:val="44"/>
          <w:szCs w:val="44"/>
          <w:lang w:eastAsia="zh-CN"/>
        </w:rPr>
        <w:t>要点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z w:val="32"/>
          <w:szCs w:val="32"/>
          <w:lang w:val="en-US" w:eastAsia="zh-CN"/>
        </w:rPr>
        <w:t>2020年，</w:t>
      </w:r>
      <w:r>
        <w:rPr>
          <w:rFonts w:hint="eastAsia" w:ascii="仿宋_GB2312" w:hAnsi="仿宋_GB2312" w:eastAsia="仿宋_GB2312" w:cs="仿宋_GB2312"/>
          <w:sz w:val="32"/>
          <w:szCs w:val="32"/>
          <w:lang w:val="en-US" w:eastAsia="zh-CN"/>
        </w:rPr>
        <w:t>全市科技创新发展工作坚持以</w:t>
      </w:r>
      <w:r>
        <w:rPr>
          <w:rFonts w:hint="eastAsia" w:ascii="仿宋_GB2312" w:hAnsi="仿宋_GB2312" w:eastAsia="仿宋_GB2312" w:cs="仿宋_GB2312"/>
          <w:b w:val="0"/>
          <w:bCs w:val="0"/>
          <w:sz w:val="32"/>
          <w:szCs w:val="32"/>
          <w:lang w:val="en-US" w:eastAsia="zh-CN"/>
        </w:rPr>
        <w:t>习近平新时代中国特色社会主义思想为指导，全面贯彻落实党的十九大、十九届三中、四中全会精神，省委十二届八次、九次全会精神，市委十四届八次、九次全会精神，深入贯彻落实习近平总书记对广东重要讲话和重要指示批示精神，按照市委“1+5+2”工作部署，</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主动对</w:t>
      </w:r>
      <w:r>
        <w:rPr>
          <w:rFonts w:hint="eastAsia" w:ascii="仿宋_GB2312" w:hAnsi="仿宋_GB2312" w:eastAsia="仿宋_GB2312" w:cs="仿宋_GB2312"/>
          <w:b w:val="0"/>
          <w:bCs w:val="0"/>
          <w:sz w:val="32"/>
          <w:szCs w:val="32"/>
          <w:lang w:val="en-US" w:eastAsia="zh-CN"/>
        </w:rPr>
        <w:t>接融入粤港澳大湾区、深圳中国特色社会主义先行示范区建设，坚定不移实施创新驱动发展战略，助力潮州实现高质量发展。重点抓好以下工作：</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rPr>
          <w:rFonts w:hint="eastAsia" w:ascii="黑体" w:hAnsi="黑体" w:eastAsia="黑体" w:cs="黑体"/>
          <w:b w:val="0"/>
          <w:bCs w:val="0"/>
          <w:color w:val="000000" w:themeColor="text1"/>
          <w:sz w:val="32"/>
          <w:szCs w:val="32"/>
          <w:shd w:val="clear" w:color="auto" w:fill="auto"/>
          <w:lang w:val="en-US"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auto"/>
          <w:lang w:val="en-US" w:eastAsia="zh-CN"/>
          <w14:textFill>
            <w14:solidFill>
              <w14:schemeClr w14:val="tx1"/>
            </w14:solidFill>
          </w14:textFill>
        </w:rPr>
        <w:t>加快科技创新“两大平台”建设，形成人才集聚新高地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rPr>
          <w:rFonts w:hint="eastAsia" w:ascii="仿宋_GB2312" w:hAnsi="仿宋_GB2312" w:eastAsia="仿宋_GB2312" w:cs="仿宋_GB2312"/>
          <w:b/>
          <w:bCs/>
          <w:i/>
          <w:iCs/>
          <w:color w:val="000000" w:themeColor="text1"/>
          <w:sz w:val="32"/>
          <w:szCs w:val="32"/>
          <w:u w:val="single"/>
          <w:shd w:val="clear" w:color="auto" w:fill="auto"/>
          <w:lang w:val="en-US" w:eastAsia="zh-CN"/>
          <w14:textFill>
            <w14:solidFill>
              <w14:schemeClr w14:val="tx1"/>
            </w14:solidFill>
          </w14:textFill>
        </w:rPr>
      </w:pPr>
      <w:r>
        <w:rPr>
          <w:rFonts w:hint="eastAsia" w:ascii="黑体" w:hAnsi="黑体" w:eastAsia="黑体" w:cs="黑体"/>
          <w:b/>
          <w:bCs/>
          <w:color w:val="000000" w:themeColor="text1"/>
          <w:sz w:val="32"/>
          <w:szCs w:val="32"/>
          <w:shd w:val="clear" w:color="auto" w:fill="auto"/>
          <w:lang w:val="en-US" w:eastAsia="zh-CN"/>
          <w14:textFill>
            <w14:solidFill>
              <w14:schemeClr w14:val="tx1"/>
            </w14:solidFill>
          </w14:textFill>
        </w:rPr>
        <w:t>（</w:t>
      </w:r>
      <w:r>
        <w:rPr>
          <w:rFonts w:hint="eastAsia" w:ascii="楷体" w:hAnsi="楷体" w:eastAsia="楷体" w:cs="楷体"/>
          <w:b/>
          <w:bCs/>
          <w:color w:val="000000" w:themeColor="text1"/>
          <w:sz w:val="32"/>
          <w:szCs w:val="32"/>
          <w:shd w:val="clear" w:color="auto" w:fill="auto"/>
          <w:lang w:val="en-US" w:eastAsia="zh-CN"/>
          <w14:textFill>
            <w14:solidFill>
              <w14:schemeClr w14:val="tx1"/>
            </w14:solidFill>
          </w14:textFill>
        </w:rPr>
        <w:t>一）加快建设省实验室潮州分中心。</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积极争取资金，支持省实验室潮州分中心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基础条件建设，加快场地装修和相关仪器设备的选型、论证、招标采购工作</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；继续</w:t>
      </w:r>
      <w:r>
        <w:rPr>
          <w:rFonts w:hint="eastAsia" w:ascii="仿宋_GB2312" w:hAnsi="仿宋_GB2312" w:eastAsia="仿宋_GB2312" w:cs="仿宋_GB2312"/>
          <w:color w:val="000000" w:themeColor="text1"/>
          <w:sz w:val="32"/>
          <w:szCs w:val="32"/>
          <w:lang w:eastAsia="zh-CN"/>
          <w14:textFill>
            <w14:solidFill>
              <w14:schemeClr w14:val="tx1"/>
            </w14:solidFill>
          </w14:textFill>
        </w:rPr>
        <w:t>加强科研团队建设，</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加大力度引进高水平学术人才，争取引进博士、硕士各2-3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名；</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围绕实验室发展及产业转型升级要求，组织实施一批科研项目，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实施开展5G通信基站用高容量MLCC、食品安全技术等重点研发计划，主动承接省级以上重点研发任务，力争在关键核心技术自主可控方面取得积极进展；</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进一步健全完善制度机制，强化内部管理，更加高效地支撑科研活动的开展</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（二）协调推进</w:t>
      </w:r>
      <w:r>
        <w:rPr>
          <w:rFonts w:hint="eastAsia" w:ascii="楷体" w:hAnsi="楷体" w:eastAsia="楷体" w:cs="楷体"/>
          <w:b/>
          <w:bCs/>
          <w:color w:val="000000" w:themeColor="text1"/>
          <w:sz w:val="32"/>
          <w:szCs w:val="32"/>
          <w14:textFill>
            <w14:solidFill>
              <w14:schemeClr w14:val="tx1"/>
            </w14:solidFill>
          </w14:textFill>
        </w:rPr>
        <w:t>国家级高新区申报工作</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标国家级高新区创建标准，认真落实清单任务，加快推进高新区申报区域内科技企业孵化器建设。主动加强与省科技厅的沟通协调，积极争取省科技厅支持，尽快推荐申报国家级高新区认定。支持高新区科技创新发展科技攻关，开展产业前沿技术重大攻关，扶持引进产业高端技术与产业化项目，加速重大创新成果产业化，扶持发展高技术服务业，提升园区产业竞争力和自主创新能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638" w:leftChars="304" w:right="0" w:rightChars="0" w:firstLine="0" w:firstLineChars="0"/>
        <w:jc w:val="both"/>
        <w:textAlignment w:val="auto"/>
        <w:rPr>
          <w:rFonts w:hint="eastAsia" w:ascii="黑体" w:hAnsi="黑体" w:eastAsia="黑体" w:cs="黑体"/>
          <w:b w:val="0"/>
          <w:bCs w:val="0"/>
          <w:color w:val="000000" w:themeColor="text1"/>
          <w:sz w:val="32"/>
          <w:szCs w:val="32"/>
          <w:shd w:val="clear" w:color="auto" w:fill="auto"/>
          <w:lang w:val="en-US"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auto"/>
          <w:lang w:val="en-US" w:eastAsia="zh-CN"/>
          <w14:textFill>
            <w14:solidFill>
              <w14:schemeClr w14:val="tx1"/>
            </w14:solidFill>
          </w14:textFill>
        </w:rPr>
        <w:t xml:space="preserve"> 二、提升各类创新主体科技创新能力，推动产业转型升级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（一）深入开展高企树标提质行动。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健全高新技术企业培育工作机制，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坚持质量与数量并重并举并推，积极组织企业参与科技型企业认定。组织开展企业宣传培训辅导工作,落实高企培育认定补助</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、科技专项、金融服务等高企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扶持政策措施，积极动员发动企业开展申报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，持续壮大高企规模，</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力争2020年全市通过认定高企57家以上，高企存量达到130家。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构建创新型企业培育链条，发展一批科技型中小企业和高新技术企业培育库入库企业，组织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符合产业导向、成长性好、创新性强、发展前景广阔的优质中小企业参与评价认定为科技型中小企业，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储备更多后备种子企业。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jc w:val="center"/>
        <w:textAlignment w:val="auto"/>
        <w:rPr>
          <w:rFonts w:hint="eastAsia" w:ascii="黑体" w:hAnsi="黑体" w:eastAsia="黑体" w:cs="黑体"/>
          <w:b w:val="0"/>
          <w:bCs w:val="0"/>
          <w:color w:val="000000" w:themeColor="text1"/>
          <w:sz w:val="28"/>
          <w:szCs w:val="28"/>
          <w:shd w:val="clear" w:color="auto" w:fill="auto"/>
          <w:lang w:val="en-US" w:eastAsia="zh-CN"/>
          <w14:textFill>
            <w14:solidFill>
              <w14:schemeClr w14:val="tx1"/>
            </w14:solidFill>
          </w14:textFill>
        </w:rPr>
      </w:pPr>
      <w:r>
        <w:rPr>
          <w:rFonts w:hint="eastAsia" w:ascii="黑体" w:hAnsi="黑体" w:eastAsia="黑体" w:cs="黑体"/>
          <w:b w:val="0"/>
          <w:bCs w:val="0"/>
          <w:color w:val="000000" w:themeColor="text1"/>
          <w:sz w:val="28"/>
          <w:szCs w:val="28"/>
          <w:shd w:val="clear" w:color="auto" w:fill="auto"/>
          <w:lang w:val="en-US" w:eastAsia="zh-CN"/>
          <w14:textFill>
            <w14:solidFill>
              <w14:schemeClr w14:val="tx1"/>
            </w14:solidFill>
          </w14:textFill>
        </w:rPr>
        <w:t>表1 2020年高新技术企业培育任务指标表</w:t>
      </w:r>
    </w:p>
    <w:tbl>
      <w:tblPr>
        <w:tblStyle w:val="18"/>
        <w:tblW w:w="887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15" w:type="dxa"/>
          <w:left w:w="15" w:type="dxa"/>
          <w:bottom w:w="15" w:type="dxa"/>
          <w:right w:w="15" w:type="dxa"/>
        </w:tblCellMar>
      </w:tblPr>
      <w:tblGrid>
        <w:gridCol w:w="3530"/>
        <w:gridCol w:w="890"/>
        <w:gridCol w:w="890"/>
        <w:gridCol w:w="890"/>
        <w:gridCol w:w="890"/>
        <w:gridCol w:w="890"/>
        <w:gridCol w:w="8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15" w:type="dxa"/>
            <w:left w:w="15" w:type="dxa"/>
            <w:bottom w:w="15" w:type="dxa"/>
            <w:right w:w="15" w:type="dxa"/>
          </w:tblCellMar>
        </w:tblPrEx>
        <w:trPr>
          <w:trHeight w:val="680" w:hRule="atLeast"/>
          <w:jc w:val="center"/>
        </w:trPr>
        <w:tc>
          <w:tcPr>
            <w:tcW w:w="3530"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指标</w:t>
            </w:r>
          </w:p>
        </w:tc>
        <w:tc>
          <w:tcPr>
            <w:tcW w:w="890"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全市</w:t>
            </w:r>
          </w:p>
        </w:tc>
        <w:tc>
          <w:tcPr>
            <w:tcW w:w="890"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潮安区</w:t>
            </w:r>
          </w:p>
        </w:tc>
        <w:tc>
          <w:tcPr>
            <w:tcW w:w="890"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饶平县</w:t>
            </w:r>
          </w:p>
        </w:tc>
        <w:tc>
          <w:tcPr>
            <w:tcW w:w="890"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湘桥区</w:t>
            </w:r>
          </w:p>
        </w:tc>
        <w:tc>
          <w:tcPr>
            <w:tcW w:w="890"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枫溪区</w:t>
            </w:r>
          </w:p>
        </w:tc>
        <w:tc>
          <w:tcPr>
            <w:tcW w:w="890"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凤泉湖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高新区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80" w:hRule="atLeast"/>
          <w:jc w:val="center"/>
        </w:trPr>
        <w:tc>
          <w:tcPr>
            <w:tcW w:w="35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firstLine="210" w:firstLineChars="100"/>
              <w:jc w:val="both"/>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2019年高企存量（家）</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110</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53</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16</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31</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80" w:hRule="atLeast"/>
          <w:jc w:val="center"/>
        </w:trPr>
        <w:tc>
          <w:tcPr>
            <w:tcW w:w="35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firstLine="210" w:firstLineChars="100"/>
              <w:jc w:val="both"/>
              <w:textAlignment w:val="center"/>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2020年到期高企数（家）</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37</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16</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13</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80" w:hRule="atLeast"/>
          <w:jc w:val="center"/>
        </w:trPr>
        <w:tc>
          <w:tcPr>
            <w:tcW w:w="35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firstLine="210" w:firstLineChars="100"/>
              <w:jc w:val="both"/>
              <w:textAlignment w:val="center"/>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2020年需通过认定高企数量（家）</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57</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23</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18</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80" w:hRule="atLeast"/>
          <w:jc w:val="center"/>
        </w:trPr>
        <w:tc>
          <w:tcPr>
            <w:tcW w:w="35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firstLine="210" w:firstLineChars="100"/>
              <w:jc w:val="both"/>
              <w:textAlignment w:val="center"/>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2020年存量发展目标任务（家）</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130</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60</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19</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36</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11</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80" w:hRule="atLeast"/>
          <w:jc w:val="center"/>
        </w:trPr>
        <w:tc>
          <w:tcPr>
            <w:tcW w:w="35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firstLine="210" w:firstLineChars="100"/>
              <w:jc w:val="both"/>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2020年科技型中小企业数量（家）</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80</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40</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12</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（二）大力发展各类创新平台。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加大政策宣传和培训指导力度，对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标省级工程中心、省级新型研发机构认定条件，引导企业加大投入，加强软硬件设施建设,按照“五有”标准建设企业研发机构,鼓励符合条件的单位申报省级工程中心认定。鼓励我市企业与高校、科研院所合作，探索建立形式多样、机制灵活的新型研发机构，不断增强其独立运作的实体地位，提升新型研发机构可持续发展能力，积极申报省级新型研发机构认定。争取2020年省级新型研发机构申报数达2-3家,省级工程中心认定申报数达12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jc w:val="center"/>
        <w:textAlignment w:val="auto"/>
        <w:rPr>
          <w:rFonts w:hint="eastAsia" w:ascii="黑体" w:hAnsi="黑体" w:eastAsia="黑体" w:cs="黑体"/>
          <w:b w:val="0"/>
          <w:bCs w:val="0"/>
          <w:color w:val="000000" w:themeColor="text1"/>
          <w:sz w:val="28"/>
          <w:szCs w:val="28"/>
          <w:shd w:val="clear" w:color="auto" w:fill="auto"/>
          <w:lang w:val="en-US" w:eastAsia="zh-CN"/>
          <w14:textFill>
            <w14:solidFill>
              <w14:schemeClr w14:val="tx1"/>
            </w14:solidFill>
          </w14:textFill>
        </w:rPr>
      </w:pPr>
      <w:r>
        <w:rPr>
          <w:rFonts w:hint="eastAsia" w:ascii="黑体" w:hAnsi="黑体" w:eastAsia="黑体" w:cs="黑体"/>
          <w:b w:val="0"/>
          <w:bCs w:val="0"/>
          <w:color w:val="000000" w:themeColor="text1"/>
          <w:sz w:val="28"/>
          <w:szCs w:val="28"/>
          <w:shd w:val="clear" w:color="auto" w:fill="auto"/>
          <w:lang w:val="en-US" w:eastAsia="zh-CN"/>
          <w14:textFill>
            <w14:solidFill>
              <w14:schemeClr w14:val="tx1"/>
            </w14:solidFill>
          </w14:textFill>
        </w:rPr>
        <w:t>表2 2020年科技创新平台建设任务指标表</w:t>
      </w:r>
    </w:p>
    <w:tbl>
      <w:tblPr>
        <w:tblStyle w:val="18"/>
        <w:tblW w:w="9071"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3109"/>
        <w:gridCol w:w="994"/>
        <w:gridCol w:w="994"/>
        <w:gridCol w:w="993"/>
        <w:gridCol w:w="994"/>
        <w:gridCol w:w="993"/>
        <w:gridCol w:w="9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80" w:hRule="atLeast"/>
          <w:jc w:val="center"/>
        </w:trPr>
        <w:tc>
          <w:tcPr>
            <w:tcW w:w="310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指标</w:t>
            </w:r>
          </w:p>
        </w:tc>
        <w:tc>
          <w:tcPr>
            <w:tcW w:w="9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全市</w:t>
            </w:r>
          </w:p>
        </w:tc>
        <w:tc>
          <w:tcPr>
            <w:tcW w:w="9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潮安区</w:t>
            </w:r>
          </w:p>
        </w:tc>
        <w:tc>
          <w:tcPr>
            <w:tcW w:w="99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饶平县</w:t>
            </w:r>
          </w:p>
        </w:tc>
        <w:tc>
          <w:tcPr>
            <w:tcW w:w="9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湘桥区</w:t>
            </w:r>
          </w:p>
        </w:tc>
        <w:tc>
          <w:tcPr>
            <w:tcW w:w="99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枫溪区</w:t>
            </w:r>
          </w:p>
        </w:tc>
        <w:tc>
          <w:tcPr>
            <w:tcW w:w="9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凤泉湖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高新区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80" w:hRule="atLeast"/>
          <w:jc w:val="center"/>
        </w:trPr>
        <w:tc>
          <w:tcPr>
            <w:tcW w:w="310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firstLine="210" w:firstLineChars="100"/>
              <w:jc w:val="left"/>
              <w:textAlignment w:val="center"/>
              <w:outlineLvl w:val="9"/>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省</w:t>
            </w:r>
            <w:r>
              <w:rPr>
                <w:rFonts w:hint="eastAsia"/>
                <w:color w:val="000000" w:themeColor="text1"/>
                <w:sz w:val="21"/>
                <w:szCs w:val="21"/>
                <w14:textFill>
                  <w14:solidFill>
                    <w14:schemeClr w14:val="tx1"/>
                  </w14:solidFill>
                </w14:textFill>
              </w:rPr>
              <w:t>新型研发机构申报数</w:t>
            </w:r>
            <w:r>
              <w:rPr>
                <w:rFonts w:hint="eastAsia" w:ascii="宋体" w:hAnsi="宋体" w:cs="宋体"/>
                <w:i w:val="0"/>
                <w:color w:val="000000" w:themeColor="text1"/>
                <w:sz w:val="21"/>
                <w:szCs w:val="21"/>
                <w:u w:val="none"/>
                <w:lang w:val="en-US" w:eastAsia="zh-CN"/>
                <w14:textFill>
                  <w14:solidFill>
                    <w14:schemeClr w14:val="tx1"/>
                  </w14:solidFill>
                </w14:textFill>
              </w:rPr>
              <w:t>量（家）</w:t>
            </w:r>
          </w:p>
        </w:tc>
        <w:tc>
          <w:tcPr>
            <w:tcW w:w="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default"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2-3</w:t>
            </w:r>
          </w:p>
        </w:tc>
        <w:tc>
          <w:tcPr>
            <w:tcW w:w="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0-1</w:t>
            </w:r>
          </w:p>
        </w:tc>
        <w:tc>
          <w:tcPr>
            <w:tcW w:w="99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2</w:t>
            </w:r>
          </w:p>
        </w:tc>
        <w:tc>
          <w:tcPr>
            <w:tcW w:w="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0-1</w:t>
            </w:r>
          </w:p>
        </w:tc>
        <w:tc>
          <w:tcPr>
            <w:tcW w:w="99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0-1</w:t>
            </w:r>
          </w:p>
        </w:tc>
        <w:tc>
          <w:tcPr>
            <w:tcW w:w="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80" w:hRule="atLeast"/>
          <w:jc w:val="center"/>
        </w:trPr>
        <w:tc>
          <w:tcPr>
            <w:tcW w:w="310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firstLine="210" w:firstLineChars="100"/>
              <w:jc w:val="left"/>
              <w:textAlignment w:val="center"/>
              <w:outlineLvl w:val="9"/>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省级工程中心申报数</w:t>
            </w:r>
            <w:r>
              <w:rPr>
                <w:rFonts w:hint="eastAsia" w:ascii="宋体" w:hAnsi="宋体" w:eastAsia="宋体" w:cs="宋体"/>
                <w:i w:val="0"/>
                <w:color w:val="000000" w:themeColor="text1"/>
                <w:sz w:val="21"/>
                <w:szCs w:val="21"/>
                <w:u w:val="none"/>
                <w:lang w:val="en-US" w:eastAsia="zh-CN"/>
                <w14:textFill>
                  <w14:solidFill>
                    <w14:schemeClr w14:val="tx1"/>
                  </w14:solidFill>
                </w14:textFill>
              </w:rPr>
              <w:t>量（家）</w:t>
            </w:r>
          </w:p>
        </w:tc>
        <w:tc>
          <w:tcPr>
            <w:tcW w:w="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default"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12</w:t>
            </w:r>
          </w:p>
        </w:tc>
        <w:tc>
          <w:tcPr>
            <w:tcW w:w="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default"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5</w:t>
            </w:r>
          </w:p>
        </w:tc>
        <w:tc>
          <w:tcPr>
            <w:tcW w:w="99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default"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2</w:t>
            </w:r>
          </w:p>
        </w:tc>
        <w:tc>
          <w:tcPr>
            <w:tcW w:w="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default"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3</w:t>
            </w:r>
          </w:p>
        </w:tc>
        <w:tc>
          <w:tcPr>
            <w:tcW w:w="99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c>
          <w:tcPr>
            <w:tcW w:w="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（三）着力加强自主核心技术攻关。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省、市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“科创12条”，加大企业创新普惠性支持力度、提高全社会研究与试验发展（R&amp;D）经费投入；构建主体多元化、管理现代化、运行市场化的自主研发体系，努力推动规上工业企业设立研发机构比例达到40%；</w:t>
      </w:r>
      <w:r>
        <w:rPr>
          <w:rFonts w:hint="eastAsia" w:ascii="仿宋_GB2312" w:hAnsi="仿宋_GB2312" w:eastAsia="仿宋_GB2312" w:cs="仿宋_GB2312"/>
          <w:color w:val="000000" w:themeColor="text1"/>
          <w:sz w:val="32"/>
          <w:szCs w:val="32"/>
          <w:lang w:eastAsia="zh-CN"/>
          <w14:textFill>
            <w14:solidFill>
              <w14:schemeClr w14:val="tx1"/>
            </w14:solidFill>
          </w14:textFill>
        </w:rPr>
        <w:t>全力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推动潮州市优势产业骨干科技型企业参与</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国家级、省级重大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科技</w:t>
      </w:r>
      <w:r>
        <w:rPr>
          <w:rFonts w:hint="eastAsia" w:ascii="仿宋_GB2312" w:hAnsi="仿宋_GB2312" w:eastAsia="仿宋_GB2312" w:cs="仿宋_GB2312"/>
          <w:color w:val="000000" w:themeColor="text1"/>
          <w:sz w:val="32"/>
          <w:szCs w:val="32"/>
          <w:lang w:eastAsia="zh-CN"/>
          <w14:textFill>
            <w14:solidFill>
              <w14:schemeClr w14:val="tx1"/>
            </w14:solidFill>
          </w14:textFill>
        </w:rPr>
        <w:t>专项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深入发掘、积极发动重大科技创新成果力争省级以上科技奖提名；</w:t>
      </w:r>
      <w:r>
        <w:rPr>
          <w:rFonts w:hint="eastAsia" w:ascii="仿宋_GB2312" w:hAnsi="仿宋_GB2312" w:eastAsia="仿宋_GB2312" w:cs="仿宋_GB2312"/>
          <w:color w:val="000000" w:themeColor="text1"/>
          <w:kern w:val="0"/>
          <w:sz w:val="32"/>
          <w:szCs w:val="32"/>
          <w:shd w:val="clear" w:color="auto" w:fill="FDFEFF"/>
          <w14:textFill>
            <w14:solidFill>
              <w14:schemeClr w14:val="tx1"/>
            </w14:solidFill>
          </w14:textFill>
        </w:rPr>
        <w:t>推进技术合同认定登记工作，进一步活跃技术交易市场；依托</w:t>
      </w:r>
      <w:r>
        <w:rPr>
          <w:rFonts w:hint="eastAsia" w:ascii="仿宋" w:hAnsi="仿宋" w:eastAsia="仿宋" w:cs="宋体"/>
          <w:color w:val="000000" w:themeColor="text1"/>
          <w:kern w:val="0"/>
          <w:sz w:val="32"/>
          <w:szCs w:val="32"/>
          <w14:textFill>
            <w14:solidFill>
              <w14:schemeClr w14:val="tx1"/>
            </w14:solidFill>
          </w14:textFill>
        </w:rPr>
        <w:t>华南技术转移中心（华转网）</w:t>
      </w:r>
      <w:r>
        <w:rPr>
          <w:rFonts w:hint="eastAsia" w:ascii="仿宋" w:hAnsi="仿宋" w:eastAsia="仿宋" w:cs="宋体"/>
          <w:color w:val="000000" w:themeColor="text1"/>
          <w:kern w:val="0"/>
          <w:sz w:val="32"/>
          <w:szCs w:val="32"/>
          <w:shd w:val="clear" w:color="auto" w:fill="FDFEFF"/>
          <w14:textFill>
            <w14:solidFill>
              <w14:schemeClr w14:val="tx1"/>
            </w14:solidFill>
          </w14:textFill>
        </w:rPr>
        <w:t>开展科技创新券后补助</w:t>
      </w:r>
      <w:r>
        <w:rPr>
          <w:rFonts w:ascii="仿宋" w:hAnsi="仿宋" w:eastAsia="仿宋" w:cs="宋体"/>
          <w:color w:val="000000" w:themeColor="text1"/>
          <w:kern w:val="0"/>
          <w:sz w:val="32"/>
          <w:szCs w:val="32"/>
          <w:shd w:val="clear" w:color="auto" w:fill="FDFEFF"/>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DFEFF"/>
          <w14:textFill>
            <w14:solidFill>
              <w14:schemeClr w14:val="tx1"/>
            </w14:solidFill>
          </w14:textFill>
        </w:rPr>
        <w:t>促进技术成果转移转化。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jc w:val="center"/>
        <w:textAlignment w:val="auto"/>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黑体" w:hAnsi="黑体" w:eastAsia="黑体" w:cs="黑体"/>
          <w:b w:val="0"/>
          <w:bCs w:val="0"/>
          <w:color w:val="000000" w:themeColor="text1"/>
          <w:sz w:val="28"/>
          <w:szCs w:val="28"/>
          <w:shd w:val="clear" w:color="auto" w:fill="auto"/>
          <w:lang w:val="en-US" w:eastAsia="zh-CN"/>
          <w14:textFill>
            <w14:solidFill>
              <w14:schemeClr w14:val="tx1"/>
            </w14:solidFill>
          </w14:textFill>
        </w:rPr>
        <w:t>表3 2020年自主核心技术攻关任务指标表</w:t>
      </w:r>
    </w:p>
    <w:tbl>
      <w:tblPr>
        <w:tblStyle w:val="18"/>
        <w:tblW w:w="9071"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15" w:type="dxa"/>
          <w:left w:w="15" w:type="dxa"/>
          <w:bottom w:w="15" w:type="dxa"/>
          <w:right w:w="15" w:type="dxa"/>
        </w:tblCellMar>
      </w:tblPr>
      <w:tblGrid>
        <w:gridCol w:w="3109"/>
        <w:gridCol w:w="994"/>
        <w:gridCol w:w="994"/>
        <w:gridCol w:w="993"/>
        <w:gridCol w:w="994"/>
        <w:gridCol w:w="993"/>
        <w:gridCol w:w="9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15" w:type="dxa"/>
            <w:left w:w="15" w:type="dxa"/>
            <w:bottom w:w="15" w:type="dxa"/>
            <w:right w:w="15" w:type="dxa"/>
          </w:tblCellMar>
        </w:tblPrEx>
        <w:trPr>
          <w:trHeight w:val="680" w:hRule="atLeast"/>
          <w:jc w:val="center"/>
        </w:trPr>
        <w:tc>
          <w:tcPr>
            <w:tcW w:w="310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指标</w:t>
            </w:r>
          </w:p>
        </w:tc>
        <w:tc>
          <w:tcPr>
            <w:tcW w:w="99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全市</w:t>
            </w:r>
          </w:p>
        </w:tc>
        <w:tc>
          <w:tcPr>
            <w:tcW w:w="99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潮安区</w:t>
            </w:r>
          </w:p>
        </w:tc>
        <w:tc>
          <w:tcPr>
            <w:tcW w:w="993"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饶平县</w:t>
            </w:r>
          </w:p>
        </w:tc>
        <w:tc>
          <w:tcPr>
            <w:tcW w:w="99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湘桥区</w:t>
            </w:r>
          </w:p>
        </w:tc>
        <w:tc>
          <w:tcPr>
            <w:tcW w:w="993"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枫溪区</w:t>
            </w:r>
          </w:p>
        </w:tc>
        <w:tc>
          <w:tcPr>
            <w:tcW w:w="99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凤泉湖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高新区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80" w:hRule="atLeast"/>
          <w:jc w:val="center"/>
        </w:trPr>
        <w:tc>
          <w:tcPr>
            <w:tcW w:w="310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210" w:firstLineChars="100"/>
              <w:jc w:val="both"/>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2019年全社会R&amp;D内部支出占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GDP比重目标值(%)</w:t>
            </w:r>
          </w:p>
        </w:tc>
        <w:tc>
          <w:tcPr>
            <w:tcW w:w="9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0.70</w:t>
            </w:r>
          </w:p>
        </w:tc>
        <w:tc>
          <w:tcPr>
            <w:tcW w:w="9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0.72</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0.38</w:t>
            </w:r>
          </w:p>
        </w:tc>
        <w:tc>
          <w:tcPr>
            <w:tcW w:w="9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0.72</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1.00</w:t>
            </w:r>
          </w:p>
        </w:tc>
        <w:tc>
          <w:tcPr>
            <w:tcW w:w="994" w:type="dxa"/>
            <w:tcBorders>
              <w:tr2bl w:val="single" w:color="000000" w:sz="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80" w:hRule="atLeast"/>
          <w:jc w:val="center"/>
        </w:trPr>
        <w:tc>
          <w:tcPr>
            <w:tcW w:w="310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210" w:firstLineChars="100"/>
              <w:jc w:val="both"/>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规上工业企业设立研发机构比例（%）</w:t>
            </w:r>
          </w:p>
        </w:tc>
        <w:tc>
          <w:tcPr>
            <w:tcW w:w="99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210" w:firstLineChars="10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40</w:t>
            </w:r>
          </w:p>
        </w:tc>
        <w:tc>
          <w:tcPr>
            <w:tcW w:w="99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210" w:firstLineChars="10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40</w:t>
            </w:r>
          </w:p>
        </w:tc>
        <w:tc>
          <w:tcPr>
            <w:tcW w:w="993"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210" w:firstLineChars="10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40</w:t>
            </w:r>
          </w:p>
        </w:tc>
        <w:tc>
          <w:tcPr>
            <w:tcW w:w="99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210" w:firstLineChars="10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40</w:t>
            </w:r>
          </w:p>
        </w:tc>
        <w:tc>
          <w:tcPr>
            <w:tcW w:w="993"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210" w:firstLineChars="10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40</w:t>
            </w:r>
          </w:p>
        </w:tc>
        <w:tc>
          <w:tcPr>
            <w:tcW w:w="99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210" w:firstLineChars="10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80" w:hRule="atLeast"/>
          <w:jc w:val="center"/>
        </w:trPr>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firstLine="210" w:firstLineChars="100"/>
              <w:jc w:val="left"/>
              <w:textAlignment w:val="center"/>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省级以上科技奖提名数量（项）</w:t>
            </w:r>
          </w:p>
        </w:tc>
        <w:tc>
          <w:tcPr>
            <w:tcW w:w="99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cs="宋体"/>
                <w:i w:val="0"/>
                <w:color w:val="000000" w:themeColor="text1"/>
                <w:sz w:val="21"/>
                <w:szCs w:val="21"/>
                <w:u w:val="none"/>
                <w:lang w:val="en-US" w:eastAsia="zh-CN"/>
                <w14:textFill>
                  <w14:solidFill>
                    <w14:schemeClr w14:val="tx1"/>
                  </w14:solidFill>
                </w14:textFill>
              </w:rPr>
            </w:pPr>
            <w:r>
              <w:rPr>
                <w:rFonts w:ascii="宋体" w:hAnsi="宋体" w:cs="宋体"/>
                <w:color w:val="000000" w:themeColor="text1"/>
                <w:szCs w:val="21"/>
                <w14:textFill>
                  <w14:solidFill>
                    <w14:schemeClr w14:val="tx1"/>
                  </w14:solidFill>
                </w14:textFill>
              </w:rPr>
              <w:t>5</w:t>
            </w:r>
          </w:p>
        </w:tc>
        <w:tc>
          <w:tcPr>
            <w:tcW w:w="99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99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99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99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994" w:type="dxa"/>
            <w:tcBorders>
              <w:tl2br w:val="nil"/>
              <w:tr2bl w:val="nil"/>
            </w:tcBorders>
            <w:shd w:val="clear" w:color="auto" w:fill="auto"/>
            <w:vAlign w:val="center"/>
            <mc:AlternateContent>
              <mc:Choice Requires="wpsCustomData">
                <wpsCustomData:diagonals>
                  <wpsCustomData:diagonal from="0" to="20000">
                    <wpsCustomData:border w:val="single" w:color="000000" w:sz="2" w:space="0"/>
                  </wpsCustomData:diagonal>
                </wpsCustomData:diagonals>
              </mc:Choice>
            </mc:AlternateContent>
          </w:tcPr>
          <w:p>
            <w:pPr>
              <w:keepNext w:val="0"/>
              <w:keepLines w:val="0"/>
              <w:pageBreakBefore w:val="0"/>
              <w:widowControl/>
              <w:kinsoku/>
              <w:wordWrap/>
              <w:overflowPunct/>
              <w:topLinePunct w:val="0"/>
              <w:autoSpaceDE/>
              <w:autoSpaceDN/>
              <w:bidi w:val="0"/>
              <w:adjustRightInd/>
              <w:snapToGrid w:val="0"/>
              <w:spacing w:beforeAutospacing="0" w:afterAutospacing="0" w:line="576" w:lineRule="exact"/>
              <w:ind w:left="0" w:leftChars="0"/>
              <w:jc w:val="center"/>
              <w:textAlignment w:val="center"/>
              <mc:AlternateContent>
                <mc:Choice Requires="wpsCustomData">
                  <wpsCustomData:diagonalParaType/>
                </mc:Choice>
              </mc:AlternateContent>
              <w:rPr>
                <w:rFonts w:hint="eastAsia" w:ascii="宋体" w:hAnsi="宋体" w:cs="宋体"/>
                <w:i w:val="0"/>
                <w:color w:val="000000" w:themeColor="text1"/>
                <w:kern w:val="0"/>
                <w:sz w:val="21"/>
                <w:szCs w:val="21"/>
                <w:u w:val="none"/>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cs="宋体"/>
                <w:i w:val="0"/>
                <w:color w:val="000000" w:themeColor="text1"/>
                <w:kern w:val="0"/>
                <w:sz w:val="21"/>
                <w:szCs w:val="21"/>
                <w:u w:val="none"/>
                <w:lang w:val="en-US" w:eastAsia="zh-CN"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80" w:hRule="atLeast"/>
          <w:jc w:val="center"/>
        </w:trPr>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firstLine="210" w:firstLineChars="100"/>
              <w:jc w:val="left"/>
              <w:textAlignment w:val="center"/>
              <w:outlineLvl w:val="9"/>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技术合同成交金额（</w:t>
            </w:r>
            <w:r>
              <w:rPr>
                <w:rFonts w:cs="宋体" w:asciiTheme="minorEastAsia" w:hAnsiTheme="minorEastAsia"/>
                <w:color w:val="000000" w:themeColor="text1"/>
                <w:szCs w:val="21"/>
                <w14:textFill>
                  <w14:solidFill>
                    <w14:schemeClr w14:val="tx1"/>
                  </w14:solidFill>
                </w14:textFill>
              </w:rPr>
              <w:t>万元</w:t>
            </w:r>
            <w:r>
              <w:rPr>
                <w:rFonts w:hint="eastAsia" w:ascii="宋体" w:hAnsi="宋体" w:eastAsia="宋体" w:cs="宋体"/>
                <w:i w:val="0"/>
                <w:color w:val="000000" w:themeColor="text1"/>
                <w:sz w:val="21"/>
                <w:szCs w:val="21"/>
                <w:u w:val="none"/>
                <w:lang w:val="en-US" w:eastAsia="zh-CN"/>
                <w14:textFill>
                  <w14:solidFill>
                    <w14:schemeClr w14:val="tx1"/>
                  </w14:solidFill>
                </w14:textFill>
              </w:rPr>
              <w:t>）</w:t>
            </w:r>
          </w:p>
        </w:tc>
        <w:tc>
          <w:tcPr>
            <w:tcW w:w="99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cs="宋体" w:asciiTheme="minorEastAsia" w:hAnsiTheme="minorEastAsia"/>
                <w:color w:val="000000" w:themeColor="text1"/>
                <w:szCs w:val="21"/>
                <w14:textFill>
                  <w14:solidFill>
                    <w14:schemeClr w14:val="tx1"/>
                  </w14:solidFill>
                </w14:textFill>
              </w:rPr>
              <w:t>6</w:t>
            </w:r>
            <w:r>
              <w:rPr>
                <w:rFonts w:hint="eastAsia" w:cs="宋体" w:asciiTheme="minorEastAsia" w:hAnsiTheme="minorEastAsia"/>
                <w:color w:val="000000" w:themeColor="text1"/>
                <w:szCs w:val="21"/>
                <w:lang w:val="en-US" w:eastAsia="zh-CN"/>
                <w14:textFill>
                  <w14:solidFill>
                    <w14:schemeClr w14:val="tx1"/>
                  </w14:solidFill>
                </w14:textFill>
              </w:rPr>
              <w:t>00</w:t>
            </w:r>
          </w:p>
        </w:tc>
        <w:tc>
          <w:tcPr>
            <w:tcW w:w="99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10</w:t>
            </w:r>
            <w:r>
              <w:rPr>
                <w:rFonts w:hint="eastAsia" w:cs="宋体" w:asciiTheme="minorEastAsia" w:hAnsiTheme="minorEastAsia"/>
                <w:color w:val="000000" w:themeColor="text1"/>
                <w:szCs w:val="21"/>
                <w14:textFill>
                  <w14:solidFill>
                    <w14:schemeClr w14:val="tx1"/>
                  </w14:solidFill>
                </w14:textFill>
              </w:rPr>
              <w:t>0</w:t>
            </w:r>
          </w:p>
        </w:tc>
        <w:tc>
          <w:tcPr>
            <w:tcW w:w="99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100</w:t>
            </w:r>
          </w:p>
        </w:tc>
        <w:tc>
          <w:tcPr>
            <w:tcW w:w="99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10</w:t>
            </w:r>
            <w:r>
              <w:rPr>
                <w:rFonts w:cs="宋体" w:asciiTheme="minorEastAsia" w:hAnsiTheme="minorEastAsia"/>
                <w:color w:val="000000" w:themeColor="text1"/>
                <w:szCs w:val="21"/>
                <w14:textFill>
                  <w14:solidFill>
                    <w14:schemeClr w14:val="tx1"/>
                  </w14:solidFill>
                </w14:textFill>
              </w:rPr>
              <w:t>0</w:t>
            </w:r>
          </w:p>
        </w:tc>
        <w:tc>
          <w:tcPr>
            <w:tcW w:w="99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10</w:t>
            </w:r>
            <w:r>
              <w:rPr>
                <w:rFonts w:cs="宋体" w:asciiTheme="minorEastAsia" w:hAnsiTheme="minorEastAsia"/>
                <w:color w:val="000000" w:themeColor="text1"/>
                <w:szCs w:val="21"/>
                <w14:textFill>
                  <w14:solidFill>
                    <w14:schemeClr w14:val="tx1"/>
                  </w14:solidFill>
                </w14:textFill>
              </w:rPr>
              <w:t>0</w:t>
            </w:r>
          </w:p>
        </w:tc>
        <w:tc>
          <w:tcPr>
            <w:tcW w:w="99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5</w:t>
            </w:r>
            <w:r>
              <w:rPr>
                <w:rFonts w:cs="宋体" w:asciiTheme="minorEastAsia" w:hAnsiTheme="minorEastAsia"/>
                <w:color w:val="000000" w:themeColor="text1"/>
                <w:szCs w:val="21"/>
                <w14:textFill>
                  <w14:solidFill>
                    <w14:schemeClr w14:val="tx1"/>
                  </w14:solidFill>
                </w14:textFill>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firstLine="643"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（四）组织实施“大专项+任务清单”项目。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为贯彻落实“放管服”改革部署，提升市级财政科技资金的引导作用和使用效益，参照省的做法，2020</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eastAsia="zh-CN"/>
          <w14:textFill>
            <w14:solidFill>
              <w14:schemeClr w14:val="tx1"/>
            </w14:solidFill>
          </w14:textFill>
        </w:rPr>
        <w:t>将继续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牵头在市级科技资金分配方面实施“大专项+任务清单”管理模式，将部分项目管理权限下放至各县区，拟下达每个县区各100万元，共400万元，由县区按要求自行组织实施“大专项+任务清单”项目。</w:t>
      </w:r>
    </w:p>
    <w:p>
      <w:pPr>
        <w:keepNext w:val="0"/>
        <w:keepLines w:val="0"/>
        <w:pageBreakBefore w:val="0"/>
        <w:numPr>
          <w:ilvl w:val="0"/>
          <w:numId w:val="0"/>
        </w:numPr>
        <w:kinsoku/>
        <w:wordWrap/>
        <w:overflowPunct/>
        <w:topLinePunct w:val="0"/>
        <w:autoSpaceDE/>
        <w:autoSpaceDN/>
        <w:bidi w:val="0"/>
        <w:adjustRightInd/>
        <w:spacing w:beforeAutospacing="0" w:afterAutospacing="0" w:line="576" w:lineRule="exact"/>
        <w:ind w:left="0" w:leftChars="0"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（五）扎实推进科技计划项目结题。</w:t>
      </w:r>
      <w:r>
        <w:rPr>
          <w:rFonts w:hint="eastAsia" w:ascii="仿宋_GB2312" w:hAnsi="仿宋_GB2312" w:eastAsia="仿宋_GB2312" w:cs="仿宋_GB2312"/>
          <w:color w:val="000000" w:themeColor="text1"/>
          <w:sz w:val="32"/>
          <w:szCs w:val="32"/>
          <w14:textFill>
            <w14:solidFill>
              <w14:schemeClr w14:val="tx1"/>
            </w14:solidFill>
          </w14:textFill>
        </w:rPr>
        <w:t>加大科技计划项目结题推进和组织力度，着重抓近年来遗留的到期项目的结题工作和委托县区科技部门组织结题工作的落实，加强市、县区科技部门纵向工作联动，以注重科研实效、加强指导服务、便利基层为原则，切实提高项目结题推进和组织工作效率，确保项目结题工作规范、有序、高效开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28"/>
          <w:szCs w:val="28"/>
          <w:shd w:val="clear" w:color="auto" w:fill="auto"/>
          <w:lang w:val="en-US" w:eastAsia="zh-CN"/>
          <w14:textFill>
            <w14:solidFill>
              <w14:schemeClr w14:val="tx1"/>
            </w14:solidFill>
          </w14:textFill>
        </w:rPr>
        <w:t>表4 2020年市科技计划项目结题任务指标表</w:t>
      </w:r>
    </w:p>
    <w:tbl>
      <w:tblPr>
        <w:tblStyle w:val="18"/>
        <w:tblW w:w="9071"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15" w:type="dxa"/>
          <w:left w:w="15" w:type="dxa"/>
          <w:bottom w:w="15" w:type="dxa"/>
          <w:right w:w="15" w:type="dxa"/>
        </w:tblCellMar>
      </w:tblPr>
      <w:tblGrid>
        <w:gridCol w:w="3109"/>
        <w:gridCol w:w="994"/>
        <w:gridCol w:w="994"/>
        <w:gridCol w:w="993"/>
        <w:gridCol w:w="994"/>
        <w:gridCol w:w="993"/>
        <w:gridCol w:w="9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15" w:type="dxa"/>
            <w:left w:w="15" w:type="dxa"/>
            <w:bottom w:w="15" w:type="dxa"/>
            <w:right w:w="15" w:type="dxa"/>
          </w:tblCellMar>
        </w:tblPrEx>
        <w:trPr>
          <w:trHeight w:val="680" w:hRule="atLeast"/>
          <w:jc w:val="center"/>
        </w:trPr>
        <w:tc>
          <w:tcPr>
            <w:tcW w:w="310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指标</w:t>
            </w:r>
          </w:p>
        </w:tc>
        <w:tc>
          <w:tcPr>
            <w:tcW w:w="99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全市</w:t>
            </w:r>
          </w:p>
        </w:tc>
        <w:tc>
          <w:tcPr>
            <w:tcW w:w="99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潮安区</w:t>
            </w:r>
          </w:p>
        </w:tc>
        <w:tc>
          <w:tcPr>
            <w:tcW w:w="993"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饶平县</w:t>
            </w:r>
          </w:p>
        </w:tc>
        <w:tc>
          <w:tcPr>
            <w:tcW w:w="99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湘桥区</w:t>
            </w:r>
          </w:p>
        </w:tc>
        <w:tc>
          <w:tcPr>
            <w:tcW w:w="993"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枫溪区</w:t>
            </w:r>
          </w:p>
        </w:tc>
        <w:tc>
          <w:tcPr>
            <w:tcW w:w="99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凤泉湖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高新区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80" w:hRule="atLeast"/>
          <w:jc w:val="center"/>
        </w:trPr>
        <w:tc>
          <w:tcPr>
            <w:tcW w:w="310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pacing w:beforeAutospacing="0" w:afterAutospacing="0" w:line="576" w:lineRule="exact"/>
              <w:ind w:left="0" w:leftChars="0" w:firstLine="210" w:firstLineChars="100"/>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市科技计划项目结题数量</w:t>
            </w:r>
          </w:p>
        </w:tc>
        <w:tc>
          <w:tcPr>
            <w:tcW w:w="99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125</w:t>
            </w:r>
          </w:p>
        </w:tc>
        <w:tc>
          <w:tcPr>
            <w:tcW w:w="99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33</w:t>
            </w:r>
          </w:p>
        </w:tc>
        <w:tc>
          <w:tcPr>
            <w:tcW w:w="99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31</w:t>
            </w:r>
          </w:p>
        </w:tc>
        <w:tc>
          <w:tcPr>
            <w:tcW w:w="99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18</w:t>
            </w:r>
          </w:p>
        </w:tc>
        <w:tc>
          <w:tcPr>
            <w:tcW w:w="99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13</w:t>
            </w:r>
          </w:p>
        </w:tc>
        <w:tc>
          <w:tcPr>
            <w:tcW w:w="99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r>
    </w:tbl>
    <w:p>
      <w:pPr>
        <w:keepNext w:val="0"/>
        <w:keepLines w:val="0"/>
        <w:pageBreakBefore w:val="0"/>
        <w:numPr>
          <w:ilvl w:val="0"/>
          <w:numId w:val="0"/>
        </w:numPr>
        <w:kinsoku/>
        <w:wordWrap/>
        <w:overflowPunct/>
        <w:topLinePunct w:val="0"/>
        <w:autoSpaceDE/>
        <w:autoSpaceDN/>
        <w:bidi w:val="0"/>
        <w:adjustRightInd/>
        <w:spacing w:beforeAutospacing="0" w:afterAutospacing="0" w:line="576" w:lineRule="exact"/>
        <w:ind w:firstLine="643" w:firstLineChars="200"/>
        <w:jc w:val="left"/>
        <w:rPr>
          <w:rFonts w:hint="eastAsia" w:ascii="仿宋_GB2312" w:hAnsi="仿宋_GB2312" w:eastAsia="仿宋_GB2312" w:cs="仿宋_GB2312"/>
          <w:sz w:val="32"/>
          <w:szCs w:val="32"/>
          <w:lang w:val="en-US" w:eastAsia="zh-CN"/>
        </w:rPr>
      </w:pPr>
      <w:r>
        <w:rPr>
          <w:rFonts w:hint="eastAsia" w:ascii="楷体" w:hAnsi="楷体" w:eastAsia="楷体" w:cs="楷体"/>
          <w:b/>
          <w:bCs/>
          <w:color w:val="000000" w:themeColor="text1"/>
          <w:sz w:val="32"/>
          <w:szCs w:val="32"/>
          <w:lang w:val="en-US" w:eastAsia="zh-CN"/>
          <w14:textFill>
            <w14:solidFill>
              <w14:schemeClr w14:val="tx1"/>
            </w14:solidFill>
          </w14:textFill>
        </w:rPr>
        <w:t>（六）深化产学研交流合作。</w:t>
      </w:r>
      <w:r>
        <w:rPr>
          <w:rFonts w:hint="eastAsia" w:ascii="仿宋_GB2312" w:hAnsi="仿宋_GB2312" w:eastAsia="仿宋_GB2312" w:cs="仿宋_GB2312"/>
          <w:sz w:val="32"/>
          <w:szCs w:val="32"/>
          <w:lang w:val="en-US" w:eastAsia="zh-CN"/>
        </w:rPr>
        <w:t>以企业为主体，市场为导向，强化政府部门引导作用，不断深化“政校企”产学研合作。围绕我市食品、陶瓷等支柱产业需求，以“重大专项”等各级科技计划项目为依托，组织各级科技部门、企业与省内外特别是粤港澳地区的高校、科研院所在平台共建、人才引育、项目攻关、成果转化等方面开展交流合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rPr>
          <w:rFonts w:hint="eastAsia" w:ascii="仿宋_GB2312" w:hAnsi="仿宋_GB2312" w:eastAsia="仿宋_GB2312" w:cs="仿宋_GB2312"/>
          <w:b w:val="0"/>
          <w:bCs w:val="0"/>
          <w:i w:val="0"/>
          <w:caps w:val="0"/>
          <w:color w:val="000000" w:themeColor="text1"/>
          <w:spacing w:val="8"/>
          <w:sz w:val="32"/>
          <w:szCs w:val="32"/>
          <w:shd w:val="clear" w:color="auto" w:fill="FFFFFF"/>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（七）加快科技人才队伍建设。</w:t>
      </w:r>
      <w:r>
        <w:rPr>
          <w:rFonts w:hint="eastAsia" w:ascii="仿宋_GB2312" w:hAnsi="仿宋_GB2312" w:eastAsia="仿宋_GB2312" w:cs="仿宋_GB2312"/>
          <w:bCs/>
          <w:color w:val="000000" w:themeColor="text1"/>
          <w:kern w:val="0"/>
          <w:sz w:val="32"/>
          <w:szCs w:val="32"/>
          <w14:textFill>
            <w14:solidFill>
              <w14:schemeClr w14:val="tx1"/>
            </w14:solidFill>
          </w14:textFill>
        </w:rPr>
        <w:t>以</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各类创新平台为载体</w:t>
      </w:r>
      <w:r>
        <w:rPr>
          <w:rFonts w:hint="eastAsia" w:ascii="仿宋_GB2312" w:hAnsi="仿宋_GB2312" w:eastAsia="仿宋_GB2312" w:cs="仿宋_GB2312"/>
          <w:bCs/>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产学研合作为抓手，不断深化人才交流合作，大力引进各类创新人才（团队）。结合我市产业发展实际，依托各类科技人才计划项目，有的放矢的加强业务指导，重点支持省实验室潮州分中心、三环集团等基础较好的企事业单位申报各类科技人才计划项目，力争有所突破，并以此推动我市科技人才队伍建设。</w:t>
      </w:r>
    </w:p>
    <w:p>
      <w:pPr>
        <w:pStyle w:val="2"/>
        <w:keepNext w:val="0"/>
        <w:keepLines w:val="0"/>
        <w:pageBreakBefore w:val="0"/>
        <w:kinsoku/>
        <w:wordWrap/>
        <w:overflowPunct/>
        <w:topLinePunct w:val="0"/>
        <w:autoSpaceDE/>
        <w:autoSpaceDN/>
        <w:bidi w:val="0"/>
        <w:adjustRightInd/>
        <w:spacing w:beforeAutospacing="0" w:afterAutospacing="0" w:line="576" w:lineRule="exact"/>
        <w:ind w:left="0" w:leftChars="0" w:firstLine="643" w:firstLineChars="200"/>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sz w:val="32"/>
          <w:szCs w:val="32"/>
          <w:lang w:val="en-US" w:eastAsia="zh-CN"/>
        </w:rPr>
        <w:t>三、大力优化创新生态，营造良好创新创业环境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3" w:firstLineChars="200"/>
        <w:jc w:val="both"/>
        <w:textAlignment w:val="auto"/>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（一）完善孵化育成体系建设。</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围绕我市优势特色产业推进孵化载体建设。对符合条件的孵化载体培育对象，推动认定为市级、省级、国家级科技企业孵化器与众创空间。按照《科技企业孵化育成体系建设工作指引》，落实</w:t>
      </w:r>
      <w:r>
        <w:rPr>
          <w:rStyle w:val="19"/>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科技企业孵化育成平台认定、复审、运营评价、运营后补助、新增孵化面积补助等一系列财政补助政策</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，加快培育一批科技型企业。</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重点培育国家级高新区申报区域内孵化器建设，</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组</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织晶通跨境电商孵化器、中潮（枫溪）产业创新中心参与省级、国家级科技企业孵化器认定，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推动孵化载体持续</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提质增效。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jc w:val="center"/>
        <w:textAlignment w:val="auto"/>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黑体" w:hAnsi="黑体" w:eastAsia="黑体" w:cs="黑体"/>
          <w:b w:val="0"/>
          <w:bCs w:val="0"/>
          <w:color w:val="000000" w:themeColor="text1"/>
          <w:sz w:val="28"/>
          <w:szCs w:val="28"/>
          <w:shd w:val="clear" w:color="auto" w:fill="auto"/>
          <w:lang w:val="en-US" w:eastAsia="zh-CN"/>
          <w14:textFill>
            <w14:solidFill>
              <w14:schemeClr w14:val="tx1"/>
            </w14:solidFill>
          </w14:textFill>
        </w:rPr>
        <w:t>表5 2020年孵化育成体系建设任务指标表</w:t>
      </w:r>
    </w:p>
    <w:tbl>
      <w:tblPr>
        <w:tblStyle w:val="18"/>
        <w:tblW w:w="9071"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15" w:type="dxa"/>
          <w:left w:w="15" w:type="dxa"/>
          <w:bottom w:w="15" w:type="dxa"/>
          <w:right w:w="15" w:type="dxa"/>
        </w:tblCellMar>
      </w:tblPr>
      <w:tblGrid>
        <w:gridCol w:w="3109"/>
        <w:gridCol w:w="994"/>
        <w:gridCol w:w="994"/>
        <w:gridCol w:w="993"/>
        <w:gridCol w:w="994"/>
        <w:gridCol w:w="993"/>
        <w:gridCol w:w="9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15" w:type="dxa"/>
            <w:left w:w="15" w:type="dxa"/>
            <w:bottom w:w="15" w:type="dxa"/>
            <w:right w:w="15" w:type="dxa"/>
          </w:tblCellMar>
        </w:tblPrEx>
        <w:trPr>
          <w:trHeight w:val="680" w:hRule="atLeast"/>
          <w:jc w:val="center"/>
        </w:trPr>
        <w:tc>
          <w:tcPr>
            <w:tcW w:w="310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指标</w:t>
            </w:r>
          </w:p>
        </w:tc>
        <w:tc>
          <w:tcPr>
            <w:tcW w:w="99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全市</w:t>
            </w:r>
          </w:p>
        </w:tc>
        <w:tc>
          <w:tcPr>
            <w:tcW w:w="99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潮安区</w:t>
            </w:r>
          </w:p>
        </w:tc>
        <w:tc>
          <w:tcPr>
            <w:tcW w:w="993"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饶平县</w:t>
            </w:r>
          </w:p>
        </w:tc>
        <w:tc>
          <w:tcPr>
            <w:tcW w:w="99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湘桥区</w:t>
            </w:r>
          </w:p>
        </w:tc>
        <w:tc>
          <w:tcPr>
            <w:tcW w:w="993"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枫溪区</w:t>
            </w:r>
          </w:p>
        </w:tc>
        <w:tc>
          <w:tcPr>
            <w:tcW w:w="99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凤泉湖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高新区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80" w:hRule="atLeast"/>
          <w:jc w:val="center"/>
        </w:trPr>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firstLine="210" w:firstLineChars="100"/>
              <w:jc w:val="left"/>
              <w:textAlignment w:val="center"/>
              <w:outlineLvl w:val="9"/>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科技企业孵化器新增数</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（家）</w:t>
            </w:r>
          </w:p>
        </w:tc>
        <w:tc>
          <w:tcPr>
            <w:tcW w:w="9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5</w:t>
            </w:r>
          </w:p>
        </w:tc>
        <w:tc>
          <w:tcPr>
            <w:tcW w:w="9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c>
          <w:tcPr>
            <w:tcW w:w="9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c>
          <w:tcPr>
            <w:tcW w:w="9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80" w:hRule="atLeast"/>
          <w:jc w:val="center"/>
        </w:trPr>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firstLine="210" w:firstLineChars="100"/>
              <w:jc w:val="left"/>
              <w:textAlignment w:val="center"/>
              <w:outlineLvl w:val="9"/>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众创空间新增数</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（家）</w:t>
            </w:r>
          </w:p>
        </w:tc>
        <w:tc>
          <w:tcPr>
            <w:tcW w:w="9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5</w:t>
            </w:r>
          </w:p>
        </w:tc>
        <w:tc>
          <w:tcPr>
            <w:tcW w:w="9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c>
          <w:tcPr>
            <w:tcW w:w="9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c>
          <w:tcPr>
            <w:tcW w:w="9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r>
    </w:tbl>
    <w:p>
      <w:pPr>
        <w:pStyle w:val="2"/>
        <w:keepNext w:val="0"/>
        <w:keepLines w:val="0"/>
        <w:pageBreakBefore w:val="0"/>
        <w:kinsoku/>
        <w:wordWrap/>
        <w:overflowPunct/>
        <w:topLinePunct w:val="0"/>
        <w:autoSpaceDE/>
        <w:autoSpaceDN/>
        <w:bidi w:val="0"/>
        <w:adjustRightInd/>
        <w:spacing w:beforeAutospacing="0" w:afterAutospacing="0" w:line="576" w:lineRule="exact"/>
        <w:ind w:left="0" w:leftChars="0" w:firstLine="643" w:firstLineChars="200"/>
        <w:rPr>
          <w:rFonts w:hint="eastAsia" w:ascii="仿宋" w:hAnsi="仿宋" w:eastAsia="仿宋"/>
          <w:color w:val="000000" w:themeColor="text1"/>
          <w:sz w:val="32"/>
          <w:szCs w:val="32"/>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（二）加速深化科技与金融结合。</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继续加强与商业银行的合作，推动科技信贷业务的开展，发挥财政资金的引导和杠杆效应，加大对科技型企业的融资支持力度，有效缓解我市科技型中小企业的融资难题。</w:t>
      </w:r>
    </w:p>
    <w:p>
      <w:pPr>
        <w:keepNext w:val="0"/>
        <w:keepLines w:val="0"/>
        <w:pageBreakBefore w:val="0"/>
        <w:numPr>
          <w:ilvl w:val="0"/>
          <w:numId w:val="0"/>
        </w:numPr>
        <w:kinsoku/>
        <w:wordWrap/>
        <w:overflowPunct/>
        <w:topLinePunct w:val="0"/>
        <w:autoSpaceDE/>
        <w:autoSpaceDN/>
        <w:bidi w:val="0"/>
        <w:adjustRightInd/>
        <w:spacing w:beforeAutospacing="0" w:afterAutospacing="0" w:line="576" w:lineRule="exact"/>
        <w:ind w:left="0" w:leftChars="0" w:firstLine="643" w:firstLineChars="200"/>
        <w:rPr>
          <w:color w:val="000000" w:themeColor="text1"/>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（三）举办中国创新创业大赛潮州赛。</w:t>
      </w:r>
      <w:r>
        <w:rPr>
          <w:rFonts w:hint="eastAsia" w:ascii="仿宋" w:hAnsi="仿宋" w:eastAsia="仿宋"/>
          <w:color w:val="000000" w:themeColor="text1"/>
          <w:sz w:val="32"/>
          <w:szCs w:val="32"/>
          <w14:textFill>
            <w14:solidFill>
              <w14:schemeClr w14:val="tx1"/>
            </w14:solidFill>
          </w14:textFill>
        </w:rPr>
        <w:t>继续通过举办创新创业大赛，着力打造“双创”特色展示平台，营造大众创业、万众创新良好氛围，力争参赛数量、获奖水平获得提升，为我市高质量发展营造良好创新环境。</w:t>
      </w:r>
    </w:p>
    <w:p>
      <w:pPr>
        <w:keepNext w:val="0"/>
        <w:keepLines w:val="0"/>
        <w:pageBreakBefore w:val="0"/>
        <w:numPr>
          <w:ilvl w:val="0"/>
          <w:numId w:val="0"/>
        </w:numPr>
        <w:kinsoku/>
        <w:wordWrap/>
        <w:overflowPunct/>
        <w:topLinePunct w:val="0"/>
        <w:autoSpaceDE/>
        <w:autoSpaceDN/>
        <w:bidi w:val="0"/>
        <w:adjustRightInd/>
        <w:spacing w:beforeAutospacing="0" w:afterAutospacing="0" w:line="576" w:lineRule="exact"/>
        <w:ind w:left="0" w:leftChars="0" w:right="-82" w:rightChars="-39" w:firstLine="643" w:firstLineChars="200"/>
        <w:jc w:val="left"/>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（四）推进中小学校校园科普特色教育。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入实施“中小学校特色科普教育”科技计划项目，充分发挥财政资金带动作用，完善校园科普教育软硬件设施，提升我市中小学校校园科普教育水平。组织各县区科普教育条件较好的中小学校到我市现有的“广东省农村中小学校科学馆（室）”、“广东省青少年科技教育基地”进行参观学习，进一步推动我市校园科普基地建设工作，力争有新的馆（室）或基地获得省级认定。根据省厅安排，开展“潮州市科普讲解员大赛”，</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进一步促进科学普及与科技创新融合发展，营造科技创新普及氛围。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jc w:val="center"/>
        <w:textAlignment w:val="auto"/>
        <w:rPr>
          <w:rFonts w:hint="eastAsia" w:ascii="黑体" w:hAnsi="黑体" w:eastAsia="黑体" w:cs="黑体"/>
          <w:b w:val="0"/>
          <w:bCs w:val="0"/>
          <w:color w:val="000000" w:themeColor="text1"/>
          <w:sz w:val="28"/>
          <w:szCs w:val="28"/>
          <w:shd w:val="clear" w:color="auto" w:fill="auto"/>
          <w:lang w:val="en-US" w:eastAsia="zh-CN"/>
          <w14:textFill>
            <w14:solidFill>
              <w14:schemeClr w14:val="tx1"/>
            </w14:solidFill>
          </w14:textFill>
        </w:rPr>
      </w:pPr>
      <w:r>
        <w:rPr>
          <w:rFonts w:hint="eastAsia" w:ascii="黑体" w:hAnsi="黑体" w:eastAsia="黑体" w:cs="黑体"/>
          <w:b w:val="0"/>
          <w:bCs w:val="0"/>
          <w:color w:val="000000" w:themeColor="text1"/>
          <w:sz w:val="28"/>
          <w:szCs w:val="28"/>
          <w:shd w:val="clear" w:color="auto" w:fill="auto"/>
          <w:lang w:val="en-US" w:eastAsia="zh-CN"/>
          <w14:textFill>
            <w14:solidFill>
              <w14:schemeClr w14:val="tx1"/>
            </w14:solidFill>
          </w14:textFill>
        </w:rPr>
        <w:t>表6 2020年科普工作任务指标表</w:t>
      </w:r>
    </w:p>
    <w:tbl>
      <w:tblPr>
        <w:tblStyle w:val="18"/>
        <w:tblW w:w="9071"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3109"/>
        <w:gridCol w:w="994"/>
        <w:gridCol w:w="994"/>
        <w:gridCol w:w="993"/>
        <w:gridCol w:w="994"/>
        <w:gridCol w:w="993"/>
        <w:gridCol w:w="9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80" w:hRule="atLeast"/>
          <w:jc w:val="center"/>
        </w:trPr>
        <w:tc>
          <w:tcPr>
            <w:tcW w:w="310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指标</w:t>
            </w:r>
          </w:p>
        </w:tc>
        <w:tc>
          <w:tcPr>
            <w:tcW w:w="9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全市</w:t>
            </w:r>
          </w:p>
        </w:tc>
        <w:tc>
          <w:tcPr>
            <w:tcW w:w="9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潮安区</w:t>
            </w:r>
          </w:p>
        </w:tc>
        <w:tc>
          <w:tcPr>
            <w:tcW w:w="99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饶平县</w:t>
            </w:r>
          </w:p>
        </w:tc>
        <w:tc>
          <w:tcPr>
            <w:tcW w:w="9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湘桥区</w:t>
            </w:r>
          </w:p>
        </w:tc>
        <w:tc>
          <w:tcPr>
            <w:tcW w:w="99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枫溪区</w:t>
            </w:r>
          </w:p>
        </w:tc>
        <w:tc>
          <w:tcPr>
            <w:tcW w:w="9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凤泉湖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高新区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80" w:hRule="atLeast"/>
          <w:jc w:val="center"/>
        </w:trPr>
        <w:tc>
          <w:tcPr>
            <w:tcW w:w="310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“广东省农村中小学校科学馆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（室）”申报数量（家）</w:t>
            </w:r>
          </w:p>
        </w:tc>
        <w:tc>
          <w:tcPr>
            <w:tcW w:w="9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4</w:t>
            </w:r>
          </w:p>
        </w:tc>
        <w:tc>
          <w:tcPr>
            <w:tcW w:w="9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1</w:t>
            </w:r>
          </w:p>
        </w:tc>
        <w:tc>
          <w:tcPr>
            <w:tcW w:w="99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1</w:t>
            </w:r>
          </w:p>
        </w:tc>
        <w:tc>
          <w:tcPr>
            <w:tcW w:w="9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1</w:t>
            </w:r>
          </w:p>
        </w:tc>
        <w:tc>
          <w:tcPr>
            <w:tcW w:w="99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1</w:t>
            </w:r>
          </w:p>
        </w:tc>
        <w:tc>
          <w:tcPr>
            <w:tcW w:w="994" w:type="dxa"/>
            <w:tcBorders>
              <w:tl2br w:val="nil"/>
              <w:tr2bl w:val="nil"/>
            </w:tcBorders>
            <w:vAlign w:val="center"/>
            <mc:AlternateContent>
              <mc:Choice Requires="wpsCustomData">
                <wpsCustomData:diagonals>
                  <wpsCustomData:diagonal from="20000" to="0">
                    <wpsCustomData:border w:val="single" w:color="000000" w:sz="2" w:space="0"/>
                  </wpsCustomData:diagonal>
                </wpsCustomData:diagonals>
              </mc:Choice>
            </mc:AlternateContent>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mc:AlternateContent>
                <mc:Choice Requires="wpsCustomData">
                  <wpsCustomData:diagonalParaType/>
                </mc:Choice>
              </mc:AlternateContent>
              <w:rPr>
                <w:rFonts w:hint="default" w:ascii="宋体" w:hAnsi="宋体" w:cs="宋体"/>
                <w:i w:val="0"/>
                <w:color w:val="000000" w:themeColor="text1"/>
                <w:sz w:val="21"/>
                <w:szCs w:val="21"/>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80" w:hRule="atLeast"/>
          <w:jc w:val="center"/>
        </w:trPr>
        <w:tc>
          <w:tcPr>
            <w:tcW w:w="310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“广东省青少年科技教育基地”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申报数量（家）</w:t>
            </w:r>
          </w:p>
        </w:tc>
        <w:tc>
          <w:tcPr>
            <w:tcW w:w="9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5</w:t>
            </w:r>
          </w:p>
        </w:tc>
        <w:tc>
          <w:tcPr>
            <w:tcW w:w="9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1</w:t>
            </w:r>
          </w:p>
        </w:tc>
        <w:tc>
          <w:tcPr>
            <w:tcW w:w="99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1</w:t>
            </w:r>
          </w:p>
        </w:tc>
        <w:tc>
          <w:tcPr>
            <w:tcW w:w="9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1</w:t>
            </w:r>
          </w:p>
        </w:tc>
        <w:tc>
          <w:tcPr>
            <w:tcW w:w="99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1</w:t>
            </w:r>
          </w:p>
        </w:tc>
        <w:tc>
          <w:tcPr>
            <w:tcW w:w="994" w:type="dxa"/>
            <w:tcBorders>
              <w:tl2br w:val="nil"/>
              <w:tr2bl w:val="nil"/>
            </w:tcBorders>
            <w:vAlign w:val="center"/>
            <mc:AlternateContent>
              <mc:Choice Requires="wpsCustomData">
                <wpsCustomData:diagonals>
                  <wpsCustomData:diagonal from="38900" to="20000">
                    <wpsCustomData:border w:val="single" w:color="000000" w:sz="2" w:space="0"/>
                  </wpsCustomData:diagonal>
                </wpsCustomData:diagonals>
              </mc:Choice>
            </mc:AlternateContent>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mc:AlternateContent>
                <mc:Choice Requires="wpsCustomData">
                  <wpsCustomData:diagonalParaType/>
                </mc:Choice>
              </mc:AlternateContent>
              <w:rPr>
                <w:rFonts w:hint="eastAsia" w:ascii="宋体" w:hAnsi="宋体" w:cs="宋体"/>
                <w:i w:val="0"/>
                <w:color w:val="000000" w:themeColor="text1"/>
                <w:sz w:val="21"/>
                <w:szCs w:val="21"/>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75" w:firstLineChars="200"/>
        <w:jc w:val="both"/>
        <w:textAlignment w:val="auto"/>
        <w:rPr>
          <w:rFonts w:hint="eastAsia" w:ascii="仿宋_GB2312" w:hAnsi="仿宋_GB2312" w:eastAsia="仿宋_GB2312" w:cs="仿宋_GB2312"/>
          <w:b/>
          <w:bCs/>
          <w:i w:val="0"/>
          <w:caps w:val="0"/>
          <w:color w:val="000000" w:themeColor="text1"/>
          <w:spacing w:val="8"/>
          <w:sz w:val="32"/>
          <w:szCs w:val="32"/>
          <w:shd w:val="clear" w:color="auto" w:fill="FFFFFF"/>
          <w:lang w:val="en-US" w:eastAsia="zh-CN"/>
          <w14:textFill>
            <w14:solidFill>
              <w14:schemeClr w14:val="tx1"/>
            </w14:solidFill>
          </w14:textFill>
        </w:rPr>
      </w:pPr>
    </w:p>
    <w:sectPr>
      <w:footerReference r:id="rId5" w:type="first"/>
      <w:footerReference r:id="rId3" w:type="default"/>
      <w:footerReference r:id="rId4" w:type="even"/>
      <w:pgSz w:w="11906" w:h="16838"/>
      <w:pgMar w:top="2098" w:right="1474" w:bottom="1928" w:left="1587"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- 3 -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- 3 -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- 4 -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- 4 -</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656BF"/>
    <w:multiLevelType w:val="singleLevel"/>
    <w:tmpl w:val="5E4656B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86635"/>
    <w:rsid w:val="013671D8"/>
    <w:rsid w:val="02A46621"/>
    <w:rsid w:val="068F2517"/>
    <w:rsid w:val="069417C3"/>
    <w:rsid w:val="086B36B4"/>
    <w:rsid w:val="087367F3"/>
    <w:rsid w:val="088D0E26"/>
    <w:rsid w:val="08FE1440"/>
    <w:rsid w:val="09A0515C"/>
    <w:rsid w:val="09CF2A99"/>
    <w:rsid w:val="0A4F28C3"/>
    <w:rsid w:val="0B3A7735"/>
    <w:rsid w:val="0CA42F6F"/>
    <w:rsid w:val="0D120977"/>
    <w:rsid w:val="0D175B2C"/>
    <w:rsid w:val="0D545509"/>
    <w:rsid w:val="0DBC6A0B"/>
    <w:rsid w:val="0EC274D0"/>
    <w:rsid w:val="10385ADD"/>
    <w:rsid w:val="109E5E33"/>
    <w:rsid w:val="10F06A99"/>
    <w:rsid w:val="11517E66"/>
    <w:rsid w:val="13306682"/>
    <w:rsid w:val="13D36C35"/>
    <w:rsid w:val="14B36507"/>
    <w:rsid w:val="15CA282A"/>
    <w:rsid w:val="19507703"/>
    <w:rsid w:val="19BB2B36"/>
    <w:rsid w:val="19F42C05"/>
    <w:rsid w:val="1AD03357"/>
    <w:rsid w:val="1B1E3822"/>
    <w:rsid w:val="1B32782F"/>
    <w:rsid w:val="1CAD1A1C"/>
    <w:rsid w:val="1D3D2557"/>
    <w:rsid w:val="1D81276D"/>
    <w:rsid w:val="21227F0B"/>
    <w:rsid w:val="213374E5"/>
    <w:rsid w:val="21676B86"/>
    <w:rsid w:val="2232486D"/>
    <w:rsid w:val="24364185"/>
    <w:rsid w:val="25A02786"/>
    <w:rsid w:val="27FC4DFA"/>
    <w:rsid w:val="285A50AB"/>
    <w:rsid w:val="28886EE5"/>
    <w:rsid w:val="29175038"/>
    <w:rsid w:val="299E6BC6"/>
    <w:rsid w:val="2CB71BE3"/>
    <w:rsid w:val="2D237D13"/>
    <w:rsid w:val="2DD27061"/>
    <w:rsid w:val="2DDD0C2F"/>
    <w:rsid w:val="2EA27124"/>
    <w:rsid w:val="2EED7543"/>
    <w:rsid w:val="2F07662E"/>
    <w:rsid w:val="3089490F"/>
    <w:rsid w:val="336B6B6D"/>
    <w:rsid w:val="3470593E"/>
    <w:rsid w:val="366D6B3A"/>
    <w:rsid w:val="37322A41"/>
    <w:rsid w:val="38550686"/>
    <w:rsid w:val="385A6A35"/>
    <w:rsid w:val="38C82E58"/>
    <w:rsid w:val="39BA00B5"/>
    <w:rsid w:val="39D3197F"/>
    <w:rsid w:val="39E3562E"/>
    <w:rsid w:val="39EF68A9"/>
    <w:rsid w:val="3A6B5177"/>
    <w:rsid w:val="3B105F93"/>
    <w:rsid w:val="3B546BE7"/>
    <w:rsid w:val="3BA96D0E"/>
    <w:rsid w:val="3C757D68"/>
    <w:rsid w:val="3D206E84"/>
    <w:rsid w:val="3E2A12FA"/>
    <w:rsid w:val="3FFD0302"/>
    <w:rsid w:val="41E80071"/>
    <w:rsid w:val="42BD22FC"/>
    <w:rsid w:val="441332DC"/>
    <w:rsid w:val="442F19D6"/>
    <w:rsid w:val="44A74572"/>
    <w:rsid w:val="45D63444"/>
    <w:rsid w:val="46411BBF"/>
    <w:rsid w:val="476811B9"/>
    <w:rsid w:val="48A95EB1"/>
    <w:rsid w:val="4A672D2E"/>
    <w:rsid w:val="4E0E2E0A"/>
    <w:rsid w:val="4E3239BF"/>
    <w:rsid w:val="4E8B0851"/>
    <w:rsid w:val="4EE42EC8"/>
    <w:rsid w:val="4F2B7031"/>
    <w:rsid w:val="500E14BB"/>
    <w:rsid w:val="511B1959"/>
    <w:rsid w:val="513311BD"/>
    <w:rsid w:val="51DF0430"/>
    <w:rsid w:val="51E50B86"/>
    <w:rsid w:val="52464A8A"/>
    <w:rsid w:val="52E54974"/>
    <w:rsid w:val="537073A7"/>
    <w:rsid w:val="54456A0D"/>
    <w:rsid w:val="545F5A6A"/>
    <w:rsid w:val="548C58DC"/>
    <w:rsid w:val="55F90653"/>
    <w:rsid w:val="56FA57CB"/>
    <w:rsid w:val="59087681"/>
    <w:rsid w:val="5A7F24FE"/>
    <w:rsid w:val="5B2F7FE3"/>
    <w:rsid w:val="5B4277A1"/>
    <w:rsid w:val="5C60099F"/>
    <w:rsid w:val="5D7426C4"/>
    <w:rsid w:val="5E0943C1"/>
    <w:rsid w:val="5E6F548A"/>
    <w:rsid w:val="5F562677"/>
    <w:rsid w:val="609F7B27"/>
    <w:rsid w:val="60A16244"/>
    <w:rsid w:val="60AF1EB2"/>
    <w:rsid w:val="611D6160"/>
    <w:rsid w:val="62564E97"/>
    <w:rsid w:val="62B04034"/>
    <w:rsid w:val="633F7A45"/>
    <w:rsid w:val="63562E01"/>
    <w:rsid w:val="63AB5CCC"/>
    <w:rsid w:val="659E72E1"/>
    <w:rsid w:val="670831F6"/>
    <w:rsid w:val="67225C67"/>
    <w:rsid w:val="67971B30"/>
    <w:rsid w:val="67AF6DA2"/>
    <w:rsid w:val="67D8659B"/>
    <w:rsid w:val="6864478F"/>
    <w:rsid w:val="69D17BFA"/>
    <w:rsid w:val="6AD241D6"/>
    <w:rsid w:val="6B6442A8"/>
    <w:rsid w:val="6C537210"/>
    <w:rsid w:val="6D9D72AD"/>
    <w:rsid w:val="6EC11F77"/>
    <w:rsid w:val="6EF25297"/>
    <w:rsid w:val="6F583F7D"/>
    <w:rsid w:val="6F982A3A"/>
    <w:rsid w:val="70B7606A"/>
    <w:rsid w:val="70E87A3B"/>
    <w:rsid w:val="71664A5A"/>
    <w:rsid w:val="73183D6A"/>
    <w:rsid w:val="73A43533"/>
    <w:rsid w:val="73E77344"/>
    <w:rsid w:val="73FE4EC7"/>
    <w:rsid w:val="743859C8"/>
    <w:rsid w:val="75C46039"/>
    <w:rsid w:val="76F344ED"/>
    <w:rsid w:val="787B222A"/>
    <w:rsid w:val="78997F74"/>
    <w:rsid w:val="78A22471"/>
    <w:rsid w:val="78E21241"/>
    <w:rsid w:val="7A0055B2"/>
    <w:rsid w:val="7AC17703"/>
    <w:rsid w:val="7ACB06AB"/>
    <w:rsid w:val="7B902C66"/>
    <w:rsid w:val="7D7C38B0"/>
    <w:rsid w:val="7E8F115C"/>
    <w:rsid w:val="7ED24CDB"/>
    <w:rsid w:val="7F7371FF"/>
    <w:rsid w:val="7FDA5D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ascii="宋体" w:hAnsi="宋体" w:cs="宋体"/>
      <w:b/>
      <w:bCs/>
      <w:kern w:val="0"/>
      <w:sz w:val="36"/>
      <w:szCs w:val="36"/>
    </w:rPr>
  </w:style>
  <w:style w:type="character" w:default="1" w:styleId="8">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spacing w:line="150" w:lineRule="atLeast"/>
      <w:ind w:firstLine="420" w:firstLineChars="200"/>
      <w:textAlignment w:val="baseline"/>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qFormat/>
    <w:uiPriority w:val="0"/>
    <w:pPr>
      <w:spacing w:line="360" w:lineRule="auto"/>
    </w:pPr>
    <w:rPr>
      <w:rFonts w:ascii="Calibri" w:hAnsi="Calibri"/>
      <w:sz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hd w:val="clear" w:fill="E2E2E2"/>
      <w:spacing w:before="0" w:beforeAutospacing="0" w:after="0" w:afterAutospacing="0"/>
      <w:ind w:left="0" w:right="0"/>
      <w:jc w:val="left"/>
      <w:textAlignment w:val="center"/>
    </w:pPr>
    <w:rPr>
      <w:kern w:val="0"/>
      <w:sz w:val="24"/>
      <w:u w:val="none"/>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800080"/>
      <w:u w:val="none"/>
    </w:rPr>
  </w:style>
  <w:style w:type="character" w:styleId="11">
    <w:name w:val="Emphasis"/>
    <w:basedOn w:val="8"/>
    <w:qFormat/>
    <w:uiPriority w:val="0"/>
  </w:style>
  <w:style w:type="character" w:styleId="12">
    <w:name w:val="HTML Definition"/>
    <w:basedOn w:val="8"/>
    <w:qFormat/>
    <w:uiPriority w:val="0"/>
    <w:rPr>
      <w:color w:val="2E6DA1"/>
      <w:sz w:val="25"/>
      <w:szCs w:val="25"/>
    </w:rPr>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0000FF"/>
      <w:u w:val="none"/>
    </w:rPr>
  </w:style>
  <w:style w:type="character" w:styleId="16">
    <w:name w:val="HTML Code"/>
    <w:basedOn w:val="8"/>
    <w:qFormat/>
    <w:uiPriority w:val="0"/>
    <w:rPr>
      <w:rFonts w:ascii="Courier New" w:hAnsi="Courier New"/>
      <w:sz w:val="20"/>
      <w:u w:val="none"/>
    </w:rPr>
  </w:style>
  <w:style w:type="character" w:styleId="17">
    <w:name w:val="HTML Cite"/>
    <w:basedOn w:val="8"/>
    <w:qFormat/>
    <w:uiPriority w:val="0"/>
  </w:style>
  <w:style w:type="character" w:customStyle="1" w:styleId="19">
    <w:name w:val="fontstyle01"/>
    <w:basedOn w:val="8"/>
    <w:qFormat/>
    <w:uiPriority w:val="0"/>
    <w:rPr>
      <w:rFonts w:ascii="楷体_GB2312" w:hAnsi="楷体_GB2312" w:eastAsia="楷体_GB2312" w:cs="楷体_GB2312"/>
      <w:color w:val="000000"/>
      <w:sz w:val="32"/>
      <w:szCs w:val="32"/>
    </w:rPr>
  </w:style>
  <w:style w:type="character" w:customStyle="1" w:styleId="20">
    <w:name w:val="fontstyle11"/>
    <w:basedOn w:val="8"/>
    <w:qFormat/>
    <w:uiPriority w:val="0"/>
    <w:rPr>
      <w:rFonts w:ascii="仿宋_GB2312" w:hAnsi="仿宋_GB2312" w:eastAsia="仿宋_GB2312" w:cs="仿宋_GB2312"/>
      <w:color w:val="000000"/>
      <w:sz w:val="32"/>
      <w:szCs w:val="32"/>
    </w:rPr>
  </w:style>
  <w:style w:type="character" w:customStyle="1" w:styleId="21">
    <w:name w:val="fontstyle21"/>
    <w:basedOn w:val="8"/>
    <w:qFormat/>
    <w:uiPriority w:val="0"/>
    <w:rPr>
      <w:rFonts w:ascii="仿宋_GB2312" w:hAnsi="仿宋_GB2312" w:eastAsia="仿宋_GB2312" w:cs="仿宋_GB2312"/>
      <w:color w:val="000000"/>
      <w:sz w:val="32"/>
      <w:szCs w:val="32"/>
    </w:rPr>
  </w:style>
  <w:style w:type="character" w:customStyle="1" w:styleId="22">
    <w:name w:val="curre"/>
    <w:basedOn w:val="8"/>
    <w:qFormat/>
    <w:uiPriority w:val="0"/>
    <w:rPr>
      <w:color w:val="FFFFFF"/>
      <w:shd w:val="clear" w:fill="2F6EA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7</Pages>
  <Words>3239</Words>
  <Characters>3391</Characters>
  <Lines>0</Lines>
  <Paragraphs>0</Paragraphs>
  <ScaleCrop>false</ScaleCrop>
  <LinksUpToDate>false</LinksUpToDate>
  <CharactersWithSpaces>3398</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2020-03-26T07:25:00Z</cp:lastPrinted>
  <dcterms:modified xsi:type="dcterms:W3CDTF">2020-03-26T09:45:09Z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