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附件1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autoSpaceDE w:val="0"/>
        <w:autoSpaceDN w:val="0"/>
        <w:spacing w:line="7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提前下达中央和省财政2019年</w:t>
      </w:r>
    </w:p>
    <w:p>
      <w:pPr>
        <w:autoSpaceDE w:val="0"/>
        <w:autoSpaceDN w:val="0"/>
        <w:spacing w:line="7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困难群众救助补助预算资金明细表</w:t>
      </w:r>
    </w:p>
    <w:p>
      <w:pPr>
        <w:autoSpaceDE w:val="0"/>
        <w:autoSpaceDN w:val="0"/>
        <w:spacing w:line="360" w:lineRule="auto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单位：万元</w:t>
      </w:r>
    </w:p>
    <w:tbl>
      <w:tblPr>
        <w:tblStyle w:val="3"/>
        <w:tblpPr w:leftFromText="180" w:rightFromText="180" w:vertAnchor="page" w:horzAnchor="margin" w:tblpY="520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767"/>
        <w:gridCol w:w="1559"/>
        <w:gridCol w:w="166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地区</w:t>
            </w: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下达补助资金</w:t>
            </w:r>
          </w:p>
        </w:tc>
        <w:tc>
          <w:tcPr>
            <w:tcW w:w="3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   中</w:t>
            </w: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中央财政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省财政</w:t>
            </w:r>
          </w:p>
        </w:tc>
        <w:tc>
          <w:tcPr>
            <w:tcW w:w="145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市本级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165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其中：市救助站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2081001</w:t>
            </w:r>
            <w:r>
              <w:rPr>
                <w:rFonts w:hint="eastAsia" w:ascii="仿宋_GB2312" w:hAnsi="仿宋" w:eastAsia="仿宋_GB2312"/>
                <w:sz w:val="24"/>
              </w:rPr>
              <w:t>流浪乞讨人员救助支出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市儿童福利院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85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2081001</w:t>
            </w:r>
            <w:r>
              <w:rPr>
                <w:rFonts w:hint="eastAsia" w:ascii="仿宋_GB2312" w:hAnsi="仿宋" w:eastAsia="仿宋_GB2312"/>
                <w:sz w:val="24"/>
              </w:rPr>
              <w:t>儿童福利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潮安区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7225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1384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5841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湘桥区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1286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250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1036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凤泉湖高新区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枫溪区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779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651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9689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1856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7833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ind w:firstLine="6860" w:firstLineChars="24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860" w:firstLineChars="24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54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附件2    </w:t>
      </w:r>
    </w:p>
    <w:p>
      <w:pPr>
        <w:ind w:right="527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绩效目标表</w:t>
      </w:r>
    </w:p>
    <w:p>
      <w:pPr>
        <w:ind w:right="527"/>
        <w:jc w:val="center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（2019年度）</w:t>
      </w:r>
    </w:p>
    <w:tbl>
      <w:tblPr>
        <w:tblStyle w:val="4"/>
        <w:tblW w:w="10083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64"/>
        <w:gridCol w:w="1052"/>
        <w:gridCol w:w="418"/>
        <w:gridCol w:w="336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735" w:type="dxa"/>
            <w:gridSpan w:val="3"/>
            <w:noWrap w:val="0"/>
            <w:vAlign w:val="center"/>
          </w:tcPr>
          <w:p>
            <w:pPr>
              <w:ind w:right="527" w:firstLine="630" w:firstLineChars="35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项目名称</w:t>
            </w:r>
          </w:p>
        </w:tc>
        <w:tc>
          <w:tcPr>
            <w:tcW w:w="7348" w:type="dxa"/>
            <w:gridSpan w:val="3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困难群众救助补助资金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35" w:type="dxa"/>
            <w:gridSpan w:val="3"/>
            <w:noWrap w:val="0"/>
            <w:vAlign w:val="center"/>
          </w:tcPr>
          <w:p>
            <w:pPr>
              <w:ind w:right="527" w:firstLine="450" w:firstLineChars="25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主管部门</w:t>
            </w:r>
          </w:p>
        </w:tc>
        <w:tc>
          <w:tcPr>
            <w:tcW w:w="7348" w:type="dxa"/>
            <w:gridSpan w:val="3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省民政厅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735" w:type="dxa"/>
            <w:gridSpan w:val="3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项目金额</w:t>
            </w:r>
          </w:p>
        </w:tc>
        <w:tc>
          <w:tcPr>
            <w:tcW w:w="7348" w:type="dxa"/>
            <w:gridSpan w:val="3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年度金额：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9689万元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35" w:type="dxa"/>
            <w:gridSpan w:val="3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项目类型</w:t>
            </w:r>
          </w:p>
        </w:tc>
        <w:tc>
          <w:tcPr>
            <w:tcW w:w="7348" w:type="dxa"/>
            <w:gridSpan w:val="3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基建类项目□ 经济发展类项目□ 科研类项目□ 民生类项目√ 公共管理类项目□ 公共安全类项目□ 其他项目□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735" w:type="dxa"/>
            <w:gridSpan w:val="3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348" w:type="dxa"/>
            <w:gridSpan w:val="3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运转性支出√   事业发展性支出√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735" w:type="dxa"/>
            <w:gridSpan w:val="3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348" w:type="dxa"/>
            <w:gridSpan w:val="3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一次性项目□    经常性项目√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519" w:type="dxa"/>
            <w:noWrap w:val="0"/>
            <w:vAlign w:val="top"/>
          </w:tcPr>
          <w:p>
            <w:pPr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年度总体目标</w:t>
            </w:r>
          </w:p>
        </w:tc>
        <w:tc>
          <w:tcPr>
            <w:tcW w:w="9564" w:type="dxa"/>
            <w:gridSpan w:val="5"/>
            <w:noWrap w:val="0"/>
            <w:vAlign w:val="center"/>
          </w:tcPr>
          <w:p>
            <w:pPr>
              <w:spacing w:line="200" w:lineRule="exact"/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目标1：月人均城乡低保补差分别不低于553元和251元，特困人员供养标准不低于当地低保标准的1.6倍，开展临时救助，对突发意外的家庭或个人应救尽救；</w:t>
            </w:r>
          </w:p>
          <w:p>
            <w:pPr>
              <w:spacing w:line="200" w:lineRule="exact"/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目标2：健全流浪乞讨救助管理机构救助水平，满足流浪乞讨助管理工作需求，改善流浪乞讨人员救助环境，提升救助综合服务水平；</w:t>
            </w:r>
          </w:p>
          <w:p>
            <w:pPr>
              <w:spacing w:line="200" w:lineRule="exact"/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目标3：加大欠发达地区流浪管理站建设；</w:t>
            </w:r>
          </w:p>
          <w:p>
            <w:pPr>
              <w:spacing w:line="200" w:lineRule="exact"/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目标4：落实孤儿基本生活最低养育标准自然增长机制，确保各地市孤儿基本生活保障水平不低于全省最低保障标准，促进孤儿健康成长，更好的融入社会；</w:t>
            </w:r>
          </w:p>
          <w:p>
            <w:pPr>
              <w:spacing w:line="200" w:lineRule="exact"/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目标5：提高社会救助水平，解决困难群众基本生活问题，落实社会救助政策，对符合条件的困难群众应保尽保。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绩效指标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一般指标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二级指标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三级指标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产</w:t>
            </w:r>
          </w:p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</w:t>
            </w:r>
          </w:p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指</w:t>
            </w:r>
          </w:p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标</w:t>
            </w: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数量指标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月人均城乡低保补差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240" w:lineRule="exact"/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分别不低于553元和251元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流浪乞讨人员救助量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应救尽救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spacing w:line="200" w:lineRule="exact"/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集中供养孤儿、散居孤儿（含艾滋病毒感染儿童）最低生活保障标准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分别为每人每月1685元和1025元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质量指标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孤儿基本生活费发放覆盖率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流浪乞讨救助管理按照标准实施救助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特困供养标准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不低于当地低保标准的1.6倍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时效指标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200" w:lineRule="exact"/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困难群众基本生活救助和孤儿基本生活费按时发放率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流浪乞讨人员救助资金使用率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各地提高低保标准时间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200" w:lineRule="exact"/>
              <w:ind w:right="527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各地在收到提标通知30日内印发提标文件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中央、省财政补助资金拨付时限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200" w:lineRule="exact"/>
              <w:ind w:right="527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收到预算下达通知的30日内拨付到各地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效益指标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经济效益指标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困难群众救助补助资金使用率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当年资金支出占当年资金拨付的90%以上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社会效益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孤儿基本生活水平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稳步提升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流浪救助管理安置服务水平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明显提高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保障困难群众基本生活情况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可持续影响指标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困难群众基本生活保障制度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不断完善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对健全社会救助体系的影响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满意度指标</w:t>
            </w: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服务对象满意度指标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公众满意度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社会公众投诉率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1‰以内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361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1F70"/>
    <w:rsid w:val="196C1F70"/>
    <w:rsid w:val="22BB509B"/>
    <w:rsid w:val="7D9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2019-12-26T02:15:00Z</dcterms:created>
  <dc:creator>czj1256</dc:creator>
  <cp:lastModifiedBy>czj1256</cp:lastModifiedBy>
  <dcterms:modified xsi:type="dcterms:W3CDTF">2019-12-26T02:20:29Z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