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theme="minorBidi"/>
          <w:b/>
          <w:bCs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eastAsia="zh-CN"/>
        </w:rPr>
        <w:t>潮州市非常规水资源管理办法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（征求意见稿）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</w:pPr>
    </w:p>
    <w:p>
      <w:pPr>
        <w:rPr>
          <w:lang w:eastAsia="zh-CN"/>
        </w:rPr>
      </w:pPr>
    </w:p>
    <w:p>
      <w:pPr>
        <w:spacing w:line="360" w:lineRule="auto"/>
        <w:ind w:firstLine="640" w:firstLineChars="200"/>
        <w:jc w:val="both"/>
        <w:rPr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第一条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为贯彻落实最严格的水资源管理制度，促进我市非常规水资源的有效利用，提高水资源利用效率，促进经济社会可持续发展，根据《中华人民共和国水法》、《广东省节约用水办法》等有关规定，结合本市实际，制定本办法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第二条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本办法适用于本市行政区域内非常规水资源利用设施的规划、建设、运行、管理和维护，非常规水资源的利用及相关管理活动。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第三条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lang w:eastAsia="zh-CN"/>
        </w:rPr>
        <w:t>本办法所称非常规水资源，是指区别于常规意义上的地表水、地下水资源，主要包括雨水、再生水、苦咸水等经过处理后，达到规定的水质标准，可在一定范围内重复使用的非饮用水。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 w:cstheme="minorBidi"/>
          <w:kern w:val="2"/>
          <w:sz w:val="32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lang w:eastAsia="zh-CN"/>
        </w:rPr>
        <w:t>本办法所称再生水</w:t>
      </w:r>
      <w:r>
        <w:rPr>
          <w:rFonts w:ascii="仿宋" w:hAnsi="仿宋" w:eastAsia="仿宋" w:cstheme="minorBidi"/>
          <w:kern w:val="2"/>
          <w:sz w:val="32"/>
          <w:lang w:eastAsia="zh-CN"/>
        </w:rPr>
        <w:t>(</w:t>
      </w:r>
      <w:r>
        <w:rPr>
          <w:rFonts w:hint="eastAsia" w:ascii="仿宋" w:hAnsi="仿宋" w:eastAsia="仿宋" w:cstheme="minorBidi"/>
          <w:kern w:val="2"/>
          <w:sz w:val="32"/>
          <w:lang w:eastAsia="zh-CN"/>
        </w:rPr>
        <w:t>包括中水</w:t>
      </w:r>
      <w:r>
        <w:rPr>
          <w:rFonts w:ascii="仿宋" w:hAnsi="仿宋" w:eastAsia="仿宋" w:cstheme="minorBidi"/>
          <w:kern w:val="2"/>
          <w:sz w:val="32"/>
          <w:lang w:eastAsia="zh-CN"/>
        </w:rPr>
        <w:t>)</w:t>
      </w:r>
      <w:r>
        <w:rPr>
          <w:rFonts w:hint="eastAsia" w:ascii="仿宋" w:hAnsi="仿宋" w:eastAsia="仿宋" w:cstheme="minorBidi"/>
          <w:kern w:val="2"/>
          <w:sz w:val="32"/>
          <w:lang w:eastAsia="zh-CN"/>
        </w:rPr>
        <w:t>，是指对污水处理厂出水、工业排水、生活污水等非常规水源进行回收，经过适当处理后达到一定水质标准，并在一定范围内重复利用的水资源。</w:t>
      </w:r>
    </w:p>
    <w:p>
      <w:pPr>
        <w:spacing w:line="360" w:lineRule="auto"/>
        <w:ind w:firstLine="640" w:firstLineChars="200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lang w:eastAsia="zh-CN"/>
        </w:rPr>
        <w:t>本办法所称非常规水资源利用设施，包括雨水收集利用设施和再生水利用设施，是指非常规水资源的集水、供水、计量、检测设施、净化处理以及其他附属设施。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第四条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lang w:eastAsia="zh-CN"/>
        </w:rPr>
        <w:t>各级节水行政主管部门依照职能负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责本市行政区域内的非常规水资源的监督、指导工作，各有关部门根据职责，做好非常规水源管理工作。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第五条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下列用水领域应当优先使用非常规水资源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: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一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钢铁、火电、化工、制浆造纸、印染、电镀等高耗水企业用水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二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城市绿化、冲厕、道路清洗、车辆冲洗、建筑施工、消防等城市杂用水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三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娱乐性、观赏性、湿地等环境用水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四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冷却水、初级洗涤、锅炉、工艺等工业用水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五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农田灌溉、植树造林等农、林业用水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六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地表水等补充水源水。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第六条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新建、改建、扩建项目配套建设非常规水资源利用设施的，其建设资金应当列入建设项目总投资，由建设单位按照规划要求组织建设。并与主体工程同时设计、同时施工、同时投入使用。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第七条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鼓励单位和个人以独资、合资合作方式建设非常规水资源利用设施。实行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“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谁投资谁受益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”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的原则。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第八条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城市绿化、环境卫生等市政用水以及生态景观用水应当优先使用再生水、雨水等非常规水源。有条件使用再生水的单位，应当优先使用再生水。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第九条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 xml:space="preserve">单体建筑面积超过 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2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万平方米以及其他符合国家规定条件的新建公共建筑，应当在国家和省规定的期限内安装建设雨水净化、渗透、收集系统或者再生水利用设施。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雨水收集利用设施的设计、施工，应结合低影响开发模式，在建设工程地面硬化后不增加建设区域内雨水径流量和外排总量。严格按照《建筑与小区雨水控制及利用工程技术规范》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(GB 50400-20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1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6)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和国家及地方相关标准、规范的规定，建设滞、渗、蓄、用、排相结合的雨水收集利用设施。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第十一条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雨水收集利用应当因地制宜，要结合雨水集蓄利用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直接利用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、入渗回补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间接利用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和调蓄排放等方式综合利用。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一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利用类型为建筑物屋顶，其雨水应当集中引入蓄水设施处理后利用，或引入地面透水区域如绿地、透水路面进行入渗回补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二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利用类型为庭院、广场、公园、人行道等，应当按照建设标准选用透水材料或建设低影响模式设施，将雨水引入透水区域入渗回补，或引入蓄水设施处理利用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三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利用类型为城市道路及高架桥梁等市政基础设施，其路面雨水应当结合沿线的绿化灌溉设计建设雨水收集利用设施，并充分利用道路雨水管网，统筹规划建设雨水收集利用系统。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第十二条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雨水主要用于农业灌溉、工业用水、生活杂用水、城市景观生态用水。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雨水水质应当根据用途决定。除达到《建筑与小区雨水控制及利用工程技术规范》（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GB50400-2016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）规定水质标准外，其它标准应当符合国家现行相关标准。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有多用途的，其水质标准应当按最高水质标准确定。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第十三条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雨水收集利用设施的建设单位、管理单位或者物业管理企业，应按照《建筑与小区雨水控制及利用工程技术规范》(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GB50400-2016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)规定，加强对设施、设备的维护和管理，确保其正常运行。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第十四条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再生水水源主要有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: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一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生活污水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二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城市污水处理厂出水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三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符合再生水标准、安全、相对洁净的工业排水。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电镀、化工、印染等有毒有害的工业废水、医疗机构废水和放射性废水等严禁作为再生水水源。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>第十五条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 xml:space="preserve"> 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本市将再生水纳入水资源统一配置。实行地表水、地下水、再生水等联合调度、总量控制。</w:t>
      </w:r>
    </w:p>
    <w:p>
      <w:pPr>
        <w:spacing w:line="360" w:lineRule="auto"/>
        <w:ind w:firstLine="4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 w:ascii="黑体" w:hAnsi="黑体" w:eastAsia="黑体" w:cstheme="minorBidi"/>
          <w:kern w:val="2"/>
          <w:sz w:val="32"/>
          <w:lang w:eastAsia="zh-CN"/>
        </w:rPr>
        <w:t>第十六条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 xml:space="preserve"> 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再生水利用设施的建设要按照因地制宜、集中与分散建设相结合、以集中建设为主的原则。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编制城市规划或者进行城市建设，应为再生水利用设施预留建设用地，新建、改建、扩建城市道路，应当按照再生水利用规划的要求，铺设再生水利用管线。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鼓励新建城市污水处理厂配套建设再生水利用和输配设施。</w:t>
      </w:r>
    </w:p>
    <w:p>
      <w:pPr>
        <w:spacing w:line="360" w:lineRule="auto"/>
        <w:ind w:firstLine="4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第十七条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鼓励日用水量超过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250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立方米的工业企业单位建设项目及政府投资的公益性项目、大型公共建筑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指单体建筑面积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2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万平方米以上的公共建筑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、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10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万平方米以上的住宅小区、财政性投资的保障性住房等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“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四类建筑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”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配套建设再生水利用设施。</w:t>
      </w:r>
    </w:p>
    <w:p>
      <w:pPr>
        <w:spacing w:line="360" w:lineRule="auto"/>
        <w:ind w:firstLine="4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第十八条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各级人民政府应加大财政资金投入力度，大力实施再生水资源利用规划和再生水资源利用设施建设发展规划。加快再生水利用设施建设进度，完善再生水利用设施系统，做到管网配套。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第十九条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再生水水质应达到下列标准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: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一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用作道路清洁、消防、城市绿化、建筑施工、车辆清洗、厕所冲洗等城市杂用水的应达到《城市污水再生水利用城市杂用水水质》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 GB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/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T 18920-2002 )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规定，其中城市绿化中的绿地用水应达到《城市污水再生利用绿地灌溉水质》(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GBIT25499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一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2010)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二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用作娱乐性、观赏性景观环境用水的应当达到《城市污水再生利用景观环境用水水质》（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GB/T 18921-2002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）的规定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三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用于农业灌溉用水的应达到《农业灌溉水质标准》(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 GB 5084-2005 )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、《城市污水再生利用农田灌溉用水水质》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 GB 20922-2007)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标准的规定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;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eastAsia="仿宋" w:asciiTheme="minorHAnsi" w:hAnsiTheme="minorHAnsi" w:cstheme="minorBidi"/>
          <w:kern w:val="2"/>
          <w:sz w:val="32"/>
          <w:lang w:eastAsia="zh-CN"/>
        </w:rPr>
        <w:t>(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四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)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用于工业领域的冷却洗涤、锅炉工业用水的应达到《再生水水质标准》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 SL 368-2006 )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、《城市污水再生利用工业用水水质》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(GB/T 19923-2005)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再生水利用系统有各种用途时，再生水水质标准应当按最高使用标准确定。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第二十条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再生水销售价格实行市场调节价，由经营者依法自主制定。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第二十一条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非常规水资源利用设施的日常运行、管理和维护，由非常规水资源利用设施运行单位负责，并接受城市管理机构行政管理部门的监督和管理。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自建非常规水资源利用设施日常运行、管理和维护由所有权人或管理人负责。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第二十二条 </w:t>
      </w:r>
      <w:r>
        <w:rPr>
          <w:rFonts w:ascii="黑体" w:hAnsi="黑体" w:eastAsia="黑体" w:cstheme="minorBidi"/>
          <w:kern w:val="2"/>
          <w:sz w:val="32"/>
          <w:lang w:eastAsia="zh-CN"/>
        </w:rPr>
        <w:t xml:space="preserve">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非常规水资源利用运行管理单位应建立非常规水资源运行、维护管理制度和工作规程，保证设施正常运行，不得擅自停止运行或停止供水。</w:t>
      </w:r>
    </w:p>
    <w:p>
      <w:pPr>
        <w:spacing w:line="360" w:lineRule="auto"/>
        <w:ind w:firstLine="640" w:firstLineChars="200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因设施维护等原因需要停止运行或者供水的，应提前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>24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小时通知用户，并向非常规水利用管理部门报告。</w:t>
      </w:r>
    </w:p>
    <w:p>
      <w:pPr>
        <w:spacing w:line="360" w:lineRule="auto"/>
        <w:ind w:firstLine="640" w:firstLineChars="200"/>
        <w:jc w:val="both"/>
        <w:rPr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>第二十三条</w:t>
      </w:r>
      <w:r>
        <w:rPr>
          <w:rFonts w:eastAsia="仿宋" w:asciiTheme="minorHAnsi" w:hAnsiTheme="minorHAnsi" w:cstheme="minorBidi"/>
          <w:kern w:val="2"/>
          <w:sz w:val="32"/>
          <w:lang w:eastAsia="zh-CN"/>
        </w:rPr>
        <w:t xml:space="preserve"> 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非常规水资源供水系统和自来水供水系统应当相互独立，非常规水资源利用设施和管线应当有明显标识，在出水口标出“非饮用水”标识。</w:t>
      </w:r>
    </w:p>
    <w:p>
      <w:pPr>
        <w:spacing w:line="360" w:lineRule="auto"/>
        <w:ind w:firstLine="640" w:firstLineChars="200"/>
        <w:jc w:val="both"/>
        <w:rPr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第二十四条 </w:t>
      </w:r>
      <w:r>
        <w:rPr>
          <w:rFonts w:hint="eastAsia" w:eastAsia="仿宋" w:asciiTheme="minorHAnsi" w:hAnsiTheme="minorHAnsi" w:cstheme="minorBidi"/>
          <w:kern w:val="2"/>
          <w:sz w:val="32"/>
          <w:lang w:eastAsia="zh-CN"/>
        </w:rPr>
        <w:t>非常规水资源利用运行管理单位应当按照国家规定的水质检测规范，委托具有相应资质的检测机构，定期对水质进行检测，保证水质符合国家标准。</w:t>
      </w:r>
    </w:p>
    <w:p>
      <w:pPr>
        <w:tabs>
          <w:tab w:val="left" w:pos="426"/>
        </w:tabs>
        <w:spacing w:line="360" w:lineRule="auto"/>
        <w:ind w:firstLine="566" w:firstLineChars="177"/>
        <w:jc w:val="both"/>
        <w:rPr>
          <w:rFonts w:eastAsia="仿宋" w:asciiTheme="minorHAnsi" w:hAnsiTheme="minorHAnsi" w:cstheme="minorBidi"/>
          <w:kern w:val="2"/>
          <w:sz w:val="32"/>
          <w:lang w:eastAsia="zh-CN"/>
        </w:rPr>
      </w:pPr>
      <w:r>
        <w:rPr>
          <w:rFonts w:hint="eastAsia" w:ascii="黑体" w:hAnsi="黑体" w:eastAsia="黑体" w:cstheme="minorBidi"/>
          <w:kern w:val="2"/>
          <w:sz w:val="32"/>
          <w:lang w:eastAsia="zh-CN"/>
        </w:rPr>
        <w:t xml:space="preserve">第二十五条 </w:t>
      </w:r>
      <w:r>
        <w:rPr>
          <w:rFonts w:hint="eastAsia" w:ascii="黑体" w:hAnsi="黑体" w:eastAsia="黑体" w:cstheme="minorBidi"/>
          <w:kern w:val="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本办法自发布之日起施行，有效期5年。</w:t>
      </w:r>
    </w:p>
    <w:sectPr>
      <w:pgSz w:w="11980" w:h="16840"/>
      <w:pgMar w:top="16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52263"/>
    <w:rsid w:val="000664A8"/>
    <w:rsid w:val="0020372C"/>
    <w:rsid w:val="002670F8"/>
    <w:rsid w:val="002A6438"/>
    <w:rsid w:val="002C5442"/>
    <w:rsid w:val="00352263"/>
    <w:rsid w:val="00392417"/>
    <w:rsid w:val="00415F6F"/>
    <w:rsid w:val="0049030B"/>
    <w:rsid w:val="00516D29"/>
    <w:rsid w:val="005641AB"/>
    <w:rsid w:val="005B525C"/>
    <w:rsid w:val="00655F6E"/>
    <w:rsid w:val="007B432A"/>
    <w:rsid w:val="0085792F"/>
    <w:rsid w:val="009000F4"/>
    <w:rsid w:val="00963C75"/>
    <w:rsid w:val="00983873"/>
    <w:rsid w:val="009A6FE6"/>
    <w:rsid w:val="00A21CF6"/>
    <w:rsid w:val="00A80CA4"/>
    <w:rsid w:val="00AE494F"/>
    <w:rsid w:val="00C14D44"/>
    <w:rsid w:val="00CA777C"/>
    <w:rsid w:val="00CF68D8"/>
    <w:rsid w:val="00DC2170"/>
    <w:rsid w:val="00E3762C"/>
    <w:rsid w:val="00FC54FB"/>
    <w:rsid w:val="152B01CA"/>
    <w:rsid w:val="26D8527C"/>
    <w:rsid w:val="763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2556</Characters>
  <Lines>21</Lines>
  <Paragraphs>5</Paragraphs>
  <TotalTime>0</TotalTime>
  <ScaleCrop>false</ScaleCrop>
  <LinksUpToDate>false</LinksUpToDate>
  <CharactersWithSpaces>2999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2019-10-30T10:07:00Z</dcterms:created>
  <dc:creator>wxusr</dc:creator>
  <cp:lastModifiedBy>wxusr</cp:lastModifiedBy>
  <dcterms:modified xsi:type="dcterms:W3CDTF">2019-11-03T07:26:38Z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2019-10-30T00:00:00Z</vt:filetime>
  </property>
  <property fmtid="{D5CDD505-2E9C-101B-9397-08002B2CF9AE}" pid="5" name="KSOProductBuildVer">
    <vt:lpwstr>2052-11.8.2.8411</vt:lpwstr>
  </property>
</Properties>
</file>