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662F" w:rsidRDefault="00E6662F">
      <w:pPr>
        <w:pStyle w:val="NormalWeb"/>
        <w:widowControl/>
        <w:spacing w:line="480" w:lineRule="atLeast"/>
        <w:ind w:firstLine="420"/>
        <w:jc w:val="center"/>
        <w:rPr>
          <w:rFonts w:ascii="宋体" w:cs="Times New Roman"/>
          <w:b/>
          <w:bCs/>
          <w:color w:val="333333"/>
          <w:sz w:val="44"/>
          <w:szCs w:val="44"/>
        </w:rPr>
      </w:pPr>
    </w:p>
    <w:p w:rsidR="00E6662F" w:rsidRDefault="00E6662F" w:rsidP="002B20A5">
      <w:pPr>
        <w:pStyle w:val="NormalWeb"/>
        <w:widowControl/>
        <w:spacing w:line="480" w:lineRule="atLeast"/>
        <w:ind w:firstLine="420"/>
        <w:jc w:val="center"/>
        <w:rPr>
          <w:rFonts w:ascii="仿宋" w:eastAsia="仿宋" w:hAnsi="仿宋" w:cs="Times New Roman"/>
          <w:b/>
          <w:bCs/>
          <w:color w:val="333333"/>
          <w:sz w:val="44"/>
          <w:szCs w:val="44"/>
        </w:rPr>
      </w:pPr>
    </w:p>
    <w:p w:rsidR="00E6662F" w:rsidRDefault="00E6662F" w:rsidP="002B20A5">
      <w:pPr>
        <w:pStyle w:val="NormalWeb"/>
        <w:widowControl/>
        <w:spacing w:line="480" w:lineRule="atLeast"/>
        <w:ind w:firstLine="420"/>
        <w:jc w:val="center"/>
        <w:rPr>
          <w:rFonts w:ascii="仿宋" w:eastAsia="仿宋" w:hAnsi="仿宋" w:cs="Times New Roman"/>
          <w:b/>
          <w:bCs/>
          <w:color w:val="333333"/>
          <w:sz w:val="44"/>
          <w:szCs w:val="44"/>
        </w:rPr>
      </w:pPr>
    </w:p>
    <w:p w:rsidR="00E6662F" w:rsidRDefault="00E6662F" w:rsidP="002B20A5">
      <w:pPr>
        <w:pStyle w:val="NormalWeb"/>
        <w:widowControl/>
        <w:spacing w:line="480" w:lineRule="atLeast"/>
        <w:ind w:firstLine="420"/>
        <w:jc w:val="center"/>
        <w:rPr>
          <w:rFonts w:ascii="仿宋" w:eastAsia="仿宋" w:hAnsi="仿宋" w:cs="Times New Roman"/>
          <w:b/>
          <w:bCs/>
          <w:color w:val="333333"/>
          <w:sz w:val="44"/>
          <w:szCs w:val="44"/>
        </w:rPr>
      </w:pPr>
    </w:p>
    <w:p w:rsidR="00E6662F" w:rsidRPr="002B20A5" w:rsidRDefault="00E6662F" w:rsidP="002B20A5">
      <w:pPr>
        <w:pStyle w:val="NormalWeb"/>
        <w:widowControl/>
        <w:spacing w:line="480" w:lineRule="atLeast"/>
        <w:ind w:firstLine="420"/>
        <w:jc w:val="center"/>
        <w:rPr>
          <w:rFonts w:ascii="仿宋" w:eastAsia="仿宋" w:hAnsi="仿宋" w:cs="Times New Roman"/>
          <w:b/>
          <w:bCs/>
          <w:color w:val="333333"/>
          <w:sz w:val="44"/>
          <w:szCs w:val="44"/>
        </w:rPr>
      </w:pPr>
      <w:r w:rsidRPr="002B20A5">
        <w:rPr>
          <w:rFonts w:ascii="仿宋" w:eastAsia="仿宋" w:hAnsi="仿宋" w:cs="仿宋" w:hint="eastAsia"/>
          <w:b/>
          <w:bCs/>
          <w:color w:val="333333"/>
          <w:sz w:val="44"/>
          <w:szCs w:val="44"/>
        </w:rPr>
        <w:t>市国资委关于推进公共资源配置领域</w:t>
      </w:r>
    </w:p>
    <w:p w:rsidR="00E6662F" w:rsidRPr="002B20A5" w:rsidRDefault="00E6662F" w:rsidP="002B20A5">
      <w:pPr>
        <w:pStyle w:val="NormalWeb"/>
        <w:widowControl/>
        <w:spacing w:line="480" w:lineRule="atLeast"/>
        <w:ind w:firstLine="420"/>
        <w:jc w:val="center"/>
        <w:rPr>
          <w:rFonts w:ascii="仿宋" w:eastAsia="仿宋" w:hAnsi="仿宋" w:cs="Times New Roman"/>
          <w:b/>
          <w:bCs/>
          <w:color w:val="333333"/>
          <w:sz w:val="44"/>
          <w:szCs w:val="44"/>
        </w:rPr>
      </w:pPr>
      <w:r w:rsidRPr="002B20A5">
        <w:rPr>
          <w:rFonts w:ascii="仿宋" w:eastAsia="仿宋" w:hAnsi="仿宋" w:cs="仿宋" w:hint="eastAsia"/>
          <w:b/>
          <w:bCs/>
          <w:color w:val="333333"/>
          <w:sz w:val="44"/>
          <w:szCs w:val="44"/>
        </w:rPr>
        <w:t>政府信息公开的工作方案</w:t>
      </w:r>
    </w:p>
    <w:p w:rsidR="00E6662F" w:rsidRPr="002B20A5" w:rsidRDefault="00E6662F" w:rsidP="002B20A5">
      <w:pPr>
        <w:pStyle w:val="NormalWeb"/>
        <w:widowControl/>
        <w:spacing w:line="480" w:lineRule="atLeast"/>
        <w:ind w:firstLine="420"/>
        <w:rPr>
          <w:rFonts w:ascii="仿宋" w:eastAsia="仿宋" w:hAnsi="仿宋" w:cs="Times New Roman"/>
          <w:b/>
          <w:bCs/>
          <w:color w:val="333333"/>
          <w:sz w:val="44"/>
          <w:szCs w:val="44"/>
        </w:rPr>
      </w:pPr>
    </w:p>
    <w:p w:rsidR="00E6662F" w:rsidRPr="002B20A5" w:rsidRDefault="00E6662F" w:rsidP="002B20A5">
      <w:pPr>
        <w:pStyle w:val="NormalWeb"/>
        <w:widowControl/>
        <w:spacing w:line="480" w:lineRule="atLeast"/>
        <w:ind w:firstLine="420"/>
        <w:rPr>
          <w:rFonts w:ascii="仿宋" w:eastAsia="仿宋" w:hAnsi="仿宋" w:cs="Times New Roman"/>
          <w:color w:val="333333"/>
          <w:sz w:val="32"/>
          <w:szCs w:val="32"/>
        </w:rPr>
      </w:pPr>
      <w:r>
        <w:rPr>
          <w:rFonts w:ascii="仿宋" w:eastAsia="仿宋" w:hAnsi="仿宋" w:cs="仿宋" w:hint="eastAsia"/>
          <w:color w:val="333333"/>
          <w:sz w:val="32"/>
          <w:szCs w:val="32"/>
        </w:rPr>
        <w:t>根据《潮州市人民政府政务服务中心关于加快推进公共资源配置领域政府信息公开的通知》（潮政服</w:t>
      </w:r>
      <w:r>
        <w:rPr>
          <w:rFonts w:ascii="仿宋" w:eastAsia="仿宋" w:hAnsi="仿宋" w:cs="仿宋"/>
          <w:color w:val="333333"/>
          <w:sz w:val="32"/>
          <w:szCs w:val="32"/>
        </w:rPr>
        <w:t>[2018]30</w:t>
      </w:r>
      <w:r>
        <w:rPr>
          <w:rFonts w:ascii="仿宋" w:eastAsia="仿宋" w:hAnsi="仿宋" w:cs="仿宋" w:hint="eastAsia"/>
          <w:color w:val="333333"/>
          <w:sz w:val="32"/>
          <w:szCs w:val="32"/>
        </w:rPr>
        <w:t>号），对标《国务院办公厅关于推进公共资源配置领域政府信息公开的意见》（国办发</w:t>
      </w:r>
      <w:r>
        <w:rPr>
          <w:rFonts w:ascii="仿宋" w:eastAsia="仿宋" w:hAnsi="仿宋" w:cs="仿宋"/>
          <w:color w:val="333333"/>
          <w:sz w:val="32"/>
          <w:szCs w:val="32"/>
        </w:rPr>
        <w:t>[2017]97</w:t>
      </w:r>
      <w:r>
        <w:rPr>
          <w:rFonts w:ascii="仿宋" w:eastAsia="仿宋" w:hAnsi="仿宋" w:cs="仿宋" w:hint="eastAsia"/>
          <w:color w:val="333333"/>
          <w:sz w:val="32"/>
          <w:szCs w:val="32"/>
        </w:rPr>
        <w:t>号）和《广东省人民政府关于加快推进公共资源配置领域政府信息公开的通知》（粤办函</w:t>
      </w:r>
      <w:r>
        <w:rPr>
          <w:rFonts w:ascii="仿宋" w:eastAsia="仿宋" w:hAnsi="仿宋" w:cs="仿宋"/>
          <w:color w:val="333333"/>
          <w:sz w:val="32"/>
          <w:szCs w:val="32"/>
        </w:rPr>
        <w:t>[2018]201</w:t>
      </w:r>
      <w:r>
        <w:rPr>
          <w:rFonts w:ascii="仿宋" w:eastAsia="仿宋" w:hAnsi="仿宋" w:cs="仿宋" w:hint="eastAsia"/>
          <w:color w:val="333333"/>
          <w:sz w:val="32"/>
          <w:szCs w:val="32"/>
        </w:rPr>
        <w:t>号）文件要求，结合市国资委实际，进一步确定公开重点，强化公开时效，及时公开管理或实施公共资源配置过程中产生的政府信息，</w:t>
      </w:r>
      <w:r w:rsidRPr="002B20A5">
        <w:rPr>
          <w:rFonts w:ascii="仿宋" w:eastAsia="仿宋" w:hAnsi="仿宋" w:cs="仿宋" w:hint="eastAsia"/>
          <w:color w:val="333333"/>
          <w:sz w:val="32"/>
          <w:szCs w:val="32"/>
        </w:rPr>
        <w:t>制定本方案。</w:t>
      </w:r>
    </w:p>
    <w:p w:rsidR="00E6662F" w:rsidRDefault="00E6662F" w:rsidP="00837569">
      <w:pPr>
        <w:shd w:val="solid" w:color="FFFFFF" w:fill="auto"/>
        <w:autoSpaceDN w:val="0"/>
        <w:spacing w:line="420" w:lineRule="atLeast"/>
        <w:ind w:firstLineChars="200" w:firstLine="31680"/>
        <w:jc w:val="left"/>
        <w:rPr>
          <w:rFonts w:ascii="仿宋" w:eastAsia="仿宋" w:hAnsi="仿宋" w:cs="Times New Roman"/>
          <w:b/>
          <w:bCs/>
          <w:color w:val="000000"/>
          <w:sz w:val="32"/>
          <w:szCs w:val="32"/>
          <w:shd w:val="solid" w:color="FFFFFF" w:fill="auto"/>
        </w:rPr>
      </w:pPr>
      <w:r>
        <w:rPr>
          <w:rFonts w:ascii="仿宋" w:eastAsia="仿宋" w:hAnsi="仿宋" w:cs="仿宋" w:hint="eastAsia"/>
          <w:b/>
          <w:bCs/>
          <w:color w:val="000000"/>
          <w:sz w:val="32"/>
          <w:szCs w:val="32"/>
          <w:shd w:val="solid" w:color="FFFFFF" w:fill="auto"/>
        </w:rPr>
        <w:t>一、企业国有产权转让的程序</w:t>
      </w:r>
    </w:p>
    <w:p w:rsidR="00E6662F" w:rsidRDefault="00E6662F">
      <w:pPr>
        <w:shd w:val="solid" w:color="FFFFFF" w:fill="auto"/>
        <w:autoSpaceDN w:val="0"/>
        <w:spacing w:line="420" w:lineRule="atLeast"/>
        <w:ind w:left="100" w:right="100"/>
        <w:rPr>
          <w:rFonts w:ascii="仿宋" w:eastAsia="仿宋" w:hAnsi="仿宋" w:cs="Times New Roman"/>
          <w:color w:val="000000"/>
          <w:sz w:val="32"/>
          <w:szCs w:val="32"/>
          <w:shd w:val="solid" w:color="FFFFFF" w:fill="auto"/>
        </w:rPr>
      </w:pPr>
      <w:r>
        <w:rPr>
          <w:rFonts w:ascii="仿宋" w:eastAsia="仿宋" w:hAnsi="仿宋" w:cs="仿宋"/>
          <w:b/>
          <w:bCs/>
          <w:color w:val="000000"/>
          <w:sz w:val="32"/>
          <w:szCs w:val="32"/>
          <w:shd w:val="solid" w:color="FFFFFF" w:fill="auto"/>
        </w:rPr>
        <w:t xml:space="preserve">    </w:t>
      </w:r>
      <w:r>
        <w:rPr>
          <w:rFonts w:ascii="仿宋" w:eastAsia="仿宋" w:hAnsi="仿宋" w:cs="仿宋" w:hint="eastAsia"/>
          <w:color w:val="000000"/>
          <w:sz w:val="32"/>
          <w:szCs w:val="32"/>
          <w:shd w:val="solid" w:color="FFFFFF" w:fill="auto"/>
        </w:rPr>
        <w:t>（一）企业国有产权转让应当做好可行性研究，按照内部决策程序进行审议，并形成书面决议。</w:t>
      </w:r>
    </w:p>
    <w:p w:rsidR="00E6662F" w:rsidRDefault="00E6662F">
      <w:pPr>
        <w:shd w:val="solid" w:color="FFFFFF" w:fill="auto"/>
        <w:autoSpaceDN w:val="0"/>
        <w:spacing w:line="420" w:lineRule="atLeast"/>
        <w:ind w:left="100" w:right="100"/>
        <w:rPr>
          <w:rFonts w:ascii="仿宋" w:eastAsia="仿宋" w:hAnsi="仿宋" w:cs="Times New Roman"/>
          <w:color w:val="000000"/>
          <w:sz w:val="32"/>
          <w:szCs w:val="32"/>
          <w:shd w:val="solid" w:color="FFFFFF" w:fill="auto"/>
        </w:rPr>
      </w:pPr>
      <w:r>
        <w:rPr>
          <w:rFonts w:ascii="仿宋" w:eastAsia="仿宋" w:hAnsi="仿宋" w:cs="仿宋"/>
          <w:color w:val="000000"/>
          <w:sz w:val="32"/>
          <w:szCs w:val="32"/>
          <w:shd w:val="solid" w:color="FFFFFF" w:fill="auto"/>
        </w:rPr>
        <w:t xml:space="preserve"> </w:t>
      </w:r>
      <w:r>
        <w:rPr>
          <w:rFonts w:ascii="仿宋" w:eastAsia="仿宋" w:hAnsi="仿宋" w:cs="仿宋" w:hint="eastAsia"/>
          <w:color w:val="000000"/>
          <w:sz w:val="32"/>
          <w:szCs w:val="32"/>
          <w:shd w:val="solid" w:color="FFFFFF" w:fill="auto"/>
        </w:rPr>
        <w:t xml:space="preserve">　　国有独资企业的产权转让，应当由总经理办公会议审议。国有独资公司的产权转让，应当由董事会审议；没有设立董事会的，由总经理办公会议审议。涉及职工合法权益的，应当听取转让标的企业职工代表大会的意见，对职工安置等事项应当经职工代表大会讨论通过。</w:t>
      </w:r>
    </w:p>
    <w:p w:rsidR="00E6662F" w:rsidRDefault="00E6662F">
      <w:pPr>
        <w:shd w:val="solid" w:color="FFFFFF" w:fill="auto"/>
        <w:autoSpaceDN w:val="0"/>
        <w:spacing w:line="420" w:lineRule="atLeast"/>
        <w:ind w:left="100" w:right="100"/>
        <w:rPr>
          <w:rFonts w:ascii="仿宋" w:eastAsia="仿宋" w:hAnsi="仿宋" w:cs="Times New Roman"/>
          <w:color w:val="000000"/>
          <w:sz w:val="32"/>
          <w:szCs w:val="32"/>
          <w:shd w:val="solid" w:color="FFFFFF" w:fill="auto"/>
        </w:rPr>
      </w:pPr>
      <w:r>
        <w:rPr>
          <w:rFonts w:ascii="仿宋" w:eastAsia="仿宋" w:hAnsi="仿宋" w:cs="仿宋"/>
          <w:color w:val="000000"/>
          <w:sz w:val="32"/>
          <w:szCs w:val="32"/>
          <w:shd w:val="solid" w:color="FFFFFF" w:fill="auto"/>
        </w:rPr>
        <w:t xml:space="preserve">    </w:t>
      </w:r>
      <w:r>
        <w:rPr>
          <w:rFonts w:ascii="仿宋" w:eastAsia="仿宋" w:hAnsi="仿宋" w:cs="仿宋" w:hint="eastAsia"/>
          <w:color w:val="000000"/>
          <w:sz w:val="32"/>
          <w:szCs w:val="32"/>
          <w:shd w:val="solid" w:color="FFFFFF" w:fill="auto"/>
        </w:rPr>
        <w:t>（二）企业国有产权转让事项经批准或者决定后，转让方应当组织转让标的企业按照有关规定开展清产核资，根据清产核资结果编制资产负债表和资产移交清册，并委托会计师事务所实施全面审计</w:t>
      </w:r>
      <w:r>
        <w:rPr>
          <w:rFonts w:ascii="仿宋" w:eastAsia="仿宋" w:hAnsi="仿宋" w:cs="仿宋"/>
          <w:color w:val="000000"/>
          <w:sz w:val="32"/>
          <w:szCs w:val="32"/>
          <w:shd w:val="solid" w:color="FFFFFF" w:fill="auto"/>
        </w:rPr>
        <w:t>(</w:t>
      </w:r>
      <w:r>
        <w:rPr>
          <w:rFonts w:ascii="仿宋" w:eastAsia="仿宋" w:hAnsi="仿宋" w:cs="仿宋" w:hint="eastAsia"/>
          <w:color w:val="000000"/>
          <w:sz w:val="32"/>
          <w:szCs w:val="32"/>
          <w:shd w:val="solid" w:color="FFFFFF" w:fill="auto"/>
        </w:rPr>
        <w:t>包括按照国家有关规定对转让标的企业法定代表人的离任审计</w:t>
      </w:r>
      <w:r>
        <w:rPr>
          <w:rFonts w:ascii="仿宋" w:eastAsia="仿宋" w:hAnsi="仿宋" w:cs="仿宋"/>
          <w:color w:val="000000"/>
          <w:sz w:val="32"/>
          <w:szCs w:val="32"/>
          <w:shd w:val="solid" w:color="FFFFFF" w:fill="auto"/>
        </w:rPr>
        <w:t>)</w:t>
      </w:r>
      <w:r>
        <w:rPr>
          <w:rFonts w:ascii="仿宋" w:eastAsia="仿宋" w:hAnsi="仿宋" w:cs="仿宋" w:hint="eastAsia"/>
          <w:color w:val="000000"/>
          <w:sz w:val="32"/>
          <w:szCs w:val="32"/>
          <w:shd w:val="solid" w:color="FFFFFF" w:fill="auto"/>
        </w:rPr>
        <w:t>。资产损失的认定与核销，应当按照国家有关规定办理。</w:t>
      </w:r>
    </w:p>
    <w:p w:rsidR="00E6662F" w:rsidRDefault="00E6662F">
      <w:pPr>
        <w:shd w:val="solid" w:color="FFFFFF" w:fill="auto"/>
        <w:autoSpaceDN w:val="0"/>
        <w:spacing w:line="420" w:lineRule="atLeast"/>
        <w:ind w:left="100" w:right="100"/>
        <w:rPr>
          <w:rFonts w:ascii="仿宋" w:eastAsia="仿宋" w:hAnsi="仿宋" w:cs="Times New Roman"/>
          <w:color w:val="000000"/>
          <w:sz w:val="32"/>
          <w:szCs w:val="32"/>
          <w:shd w:val="solid" w:color="FFFFFF" w:fill="auto"/>
        </w:rPr>
      </w:pPr>
      <w:r>
        <w:rPr>
          <w:rFonts w:ascii="仿宋" w:eastAsia="仿宋" w:hAnsi="仿宋" w:cs="仿宋"/>
          <w:color w:val="000000"/>
          <w:sz w:val="32"/>
          <w:szCs w:val="32"/>
          <w:shd w:val="solid" w:color="FFFFFF" w:fill="auto"/>
        </w:rPr>
        <w:t xml:space="preserve"> </w:t>
      </w:r>
      <w:r>
        <w:rPr>
          <w:rFonts w:ascii="仿宋" w:eastAsia="仿宋" w:hAnsi="仿宋" w:cs="仿宋" w:hint="eastAsia"/>
          <w:color w:val="000000"/>
          <w:sz w:val="32"/>
          <w:szCs w:val="32"/>
          <w:shd w:val="solid" w:color="FFFFFF" w:fill="auto"/>
        </w:rPr>
        <w:t xml:space="preserve">　　转让所出资企业国有产权导致转让方不再拥有控股地位的，由同级国有资产监督管理机构组织进行清产核资，并委托社会中介机构开展相关业务。</w:t>
      </w:r>
    </w:p>
    <w:p w:rsidR="00E6662F" w:rsidRDefault="00E6662F">
      <w:pPr>
        <w:shd w:val="solid" w:color="FFFFFF" w:fill="auto"/>
        <w:autoSpaceDN w:val="0"/>
        <w:spacing w:line="420" w:lineRule="atLeast"/>
        <w:ind w:left="100" w:right="100"/>
        <w:rPr>
          <w:rFonts w:ascii="仿宋" w:eastAsia="仿宋" w:hAnsi="仿宋" w:cs="Times New Roman"/>
          <w:color w:val="000000"/>
          <w:sz w:val="32"/>
          <w:szCs w:val="32"/>
          <w:shd w:val="solid" w:color="FFFFFF" w:fill="auto"/>
        </w:rPr>
      </w:pPr>
      <w:r>
        <w:rPr>
          <w:rFonts w:ascii="仿宋" w:eastAsia="仿宋" w:hAnsi="仿宋" w:cs="仿宋" w:hint="eastAsia"/>
          <w:color w:val="000000"/>
          <w:sz w:val="32"/>
          <w:szCs w:val="32"/>
          <w:shd w:val="solid" w:color="FFFFFF" w:fill="auto"/>
        </w:rPr>
        <w:t xml:space="preserve">　　社会中介机构应当依法独立、公正地执行业务。企业和个人不得干预社会中介机构的正常执业行为。</w:t>
      </w:r>
    </w:p>
    <w:p w:rsidR="00E6662F" w:rsidRDefault="00E6662F">
      <w:pPr>
        <w:shd w:val="solid" w:color="FFFFFF" w:fill="auto"/>
        <w:autoSpaceDN w:val="0"/>
        <w:spacing w:line="420" w:lineRule="atLeast"/>
        <w:ind w:left="100" w:right="100"/>
        <w:rPr>
          <w:rFonts w:ascii="仿宋" w:eastAsia="仿宋" w:hAnsi="仿宋" w:cs="Times New Roman"/>
          <w:color w:val="000000"/>
          <w:sz w:val="32"/>
          <w:szCs w:val="32"/>
          <w:shd w:val="solid" w:color="FFFFFF" w:fill="auto"/>
        </w:rPr>
      </w:pPr>
      <w:r>
        <w:rPr>
          <w:rFonts w:ascii="仿宋" w:eastAsia="仿宋" w:hAnsi="仿宋" w:cs="仿宋"/>
          <w:color w:val="000000"/>
          <w:sz w:val="32"/>
          <w:szCs w:val="32"/>
          <w:shd w:val="solid" w:color="FFFFFF" w:fill="auto"/>
        </w:rPr>
        <w:t xml:space="preserve">     </w:t>
      </w:r>
      <w:r>
        <w:rPr>
          <w:rFonts w:ascii="仿宋" w:eastAsia="仿宋" w:hAnsi="仿宋" w:cs="仿宋" w:hint="eastAsia"/>
          <w:color w:val="000000"/>
          <w:sz w:val="32"/>
          <w:szCs w:val="32"/>
          <w:shd w:val="solid" w:color="FFFFFF" w:fill="auto"/>
        </w:rPr>
        <w:t>（三）在清产核资和审计的基础上，转让方应当委托具有相关资质的资产评估机构依照国家有关规定进行资产评估。评估报告经核准或者备案后，作为确定企业国有产权转让价格的参考依据。</w:t>
      </w:r>
    </w:p>
    <w:p w:rsidR="00E6662F" w:rsidRDefault="00E6662F">
      <w:pPr>
        <w:shd w:val="solid" w:color="FFFFFF" w:fill="auto"/>
        <w:autoSpaceDN w:val="0"/>
        <w:spacing w:line="420" w:lineRule="atLeast"/>
        <w:ind w:left="100" w:right="100"/>
        <w:rPr>
          <w:rFonts w:ascii="仿宋" w:eastAsia="仿宋" w:hAnsi="仿宋" w:cs="Times New Roman"/>
          <w:color w:val="000000"/>
          <w:sz w:val="32"/>
          <w:szCs w:val="32"/>
          <w:shd w:val="solid" w:color="FFFFFF" w:fill="auto"/>
        </w:rPr>
      </w:pPr>
      <w:r>
        <w:rPr>
          <w:rFonts w:ascii="仿宋" w:eastAsia="仿宋" w:hAnsi="仿宋" w:cs="仿宋" w:hint="eastAsia"/>
          <w:color w:val="000000"/>
          <w:sz w:val="32"/>
          <w:szCs w:val="32"/>
          <w:shd w:val="solid" w:color="FFFFFF" w:fill="auto"/>
        </w:rPr>
        <w:t xml:space="preserve">　　在产权交易过程中，当交易价格低于评估结果的</w:t>
      </w:r>
      <w:r>
        <w:rPr>
          <w:rFonts w:ascii="仿宋" w:eastAsia="仿宋" w:hAnsi="仿宋" w:cs="仿宋"/>
          <w:color w:val="000000"/>
          <w:sz w:val="32"/>
          <w:szCs w:val="32"/>
          <w:shd w:val="solid" w:color="FFFFFF" w:fill="auto"/>
        </w:rPr>
        <w:t>90%</w:t>
      </w:r>
      <w:r>
        <w:rPr>
          <w:rFonts w:ascii="仿宋" w:eastAsia="仿宋" w:hAnsi="仿宋" w:cs="仿宋" w:hint="eastAsia"/>
          <w:color w:val="000000"/>
          <w:sz w:val="32"/>
          <w:szCs w:val="32"/>
          <w:shd w:val="solid" w:color="FFFFFF" w:fill="auto"/>
        </w:rPr>
        <w:t>时，应当暂停交易，在获得相关产权转让批准机构同意后方可继续进行。</w:t>
      </w:r>
    </w:p>
    <w:p w:rsidR="00E6662F" w:rsidRDefault="00E6662F">
      <w:pPr>
        <w:shd w:val="solid" w:color="FFFFFF" w:fill="auto"/>
        <w:autoSpaceDN w:val="0"/>
        <w:spacing w:line="420" w:lineRule="atLeast"/>
        <w:jc w:val="left"/>
        <w:rPr>
          <w:rFonts w:ascii="仿宋" w:eastAsia="仿宋" w:hAnsi="仿宋" w:cs="Times New Roman"/>
          <w:color w:val="000000"/>
          <w:sz w:val="32"/>
          <w:szCs w:val="32"/>
          <w:shd w:val="solid" w:color="FFFFFF" w:fill="auto"/>
        </w:rPr>
      </w:pPr>
      <w:r>
        <w:rPr>
          <w:rFonts w:ascii="仿宋" w:eastAsia="仿宋" w:hAnsi="仿宋" w:cs="仿宋"/>
          <w:color w:val="000000"/>
          <w:sz w:val="32"/>
          <w:szCs w:val="32"/>
          <w:shd w:val="solid" w:color="FFFFFF" w:fill="auto"/>
        </w:rPr>
        <w:t xml:space="preserve">     </w:t>
      </w:r>
      <w:r>
        <w:rPr>
          <w:rFonts w:ascii="仿宋" w:eastAsia="仿宋" w:hAnsi="仿宋" w:cs="仿宋" w:hint="eastAsia"/>
          <w:b/>
          <w:bCs/>
          <w:color w:val="000000"/>
          <w:sz w:val="32"/>
          <w:szCs w:val="32"/>
          <w:shd w:val="solid" w:color="FFFFFF" w:fill="auto"/>
        </w:rPr>
        <w:t>二、企业国有产权转让的批准程序</w:t>
      </w:r>
    </w:p>
    <w:p w:rsidR="00E6662F" w:rsidRDefault="00E6662F">
      <w:pPr>
        <w:shd w:val="solid" w:color="FFFFFF" w:fill="auto"/>
        <w:autoSpaceDN w:val="0"/>
        <w:spacing w:line="420" w:lineRule="atLeast"/>
        <w:ind w:left="100" w:right="100"/>
        <w:rPr>
          <w:rFonts w:ascii="仿宋" w:eastAsia="仿宋" w:hAnsi="仿宋" w:cs="Times New Roman"/>
          <w:color w:val="000000"/>
          <w:sz w:val="32"/>
          <w:szCs w:val="32"/>
          <w:shd w:val="solid" w:color="FFFFFF" w:fill="auto"/>
        </w:rPr>
      </w:pPr>
      <w:r>
        <w:rPr>
          <w:rFonts w:ascii="仿宋" w:eastAsia="仿宋" w:hAnsi="仿宋" w:cs="仿宋"/>
          <w:b/>
          <w:bCs/>
          <w:color w:val="000000"/>
          <w:sz w:val="32"/>
          <w:szCs w:val="32"/>
          <w:shd w:val="solid" w:color="FFFFFF" w:fill="auto"/>
        </w:rPr>
        <w:t xml:space="preserve">    </w:t>
      </w:r>
      <w:r>
        <w:rPr>
          <w:rFonts w:ascii="仿宋" w:eastAsia="仿宋" w:hAnsi="仿宋" w:cs="仿宋" w:hint="eastAsia"/>
          <w:color w:val="000000"/>
          <w:sz w:val="32"/>
          <w:szCs w:val="32"/>
          <w:shd w:val="solid" w:color="FFFFFF" w:fill="auto"/>
        </w:rPr>
        <w:t>（一）国有资产监督管理机构决定所出资企业的国有产权转让。其中，转让企业国有产权致使国家不再拥有控股地位的，应当报本级人民政府批准。</w:t>
      </w:r>
    </w:p>
    <w:p w:rsidR="00E6662F" w:rsidRDefault="00E6662F">
      <w:pPr>
        <w:shd w:val="solid" w:color="FFFFFF" w:fill="auto"/>
        <w:autoSpaceDN w:val="0"/>
        <w:spacing w:line="420" w:lineRule="atLeast"/>
        <w:ind w:left="100" w:right="100"/>
        <w:rPr>
          <w:rFonts w:ascii="仿宋" w:eastAsia="仿宋" w:hAnsi="仿宋" w:cs="Times New Roman"/>
          <w:b/>
          <w:bCs/>
          <w:color w:val="333333"/>
          <w:sz w:val="32"/>
          <w:szCs w:val="32"/>
        </w:rPr>
      </w:pPr>
      <w:r>
        <w:rPr>
          <w:rFonts w:ascii="仿宋" w:eastAsia="仿宋" w:hAnsi="仿宋" w:cs="仿宋"/>
          <w:color w:val="000000"/>
          <w:sz w:val="32"/>
          <w:szCs w:val="32"/>
          <w:shd w:val="solid" w:color="FFFFFF" w:fill="auto"/>
        </w:rPr>
        <w:t xml:space="preserve">    </w:t>
      </w:r>
      <w:r>
        <w:rPr>
          <w:rFonts w:ascii="仿宋" w:eastAsia="仿宋" w:hAnsi="仿宋" w:cs="仿宋" w:hint="eastAsia"/>
          <w:color w:val="000000"/>
          <w:sz w:val="32"/>
          <w:szCs w:val="32"/>
          <w:shd w:val="solid" w:color="FFFFFF" w:fill="auto"/>
        </w:rPr>
        <w:t>（二）所出资企业决定其子企业的国有产权转让。其中，重要子企业的重大国有产权转让事项，应当报同级国有资产监督管理机构会签财政部门后批准。其中，涉及政府社会公共管理审批事项的，需预先报经政府有关部门审批。</w:t>
      </w:r>
      <w:r>
        <w:rPr>
          <w:rFonts w:ascii="仿宋" w:eastAsia="仿宋" w:hAnsi="仿宋" w:cs="仿宋"/>
          <w:color w:val="000000"/>
          <w:sz w:val="32"/>
          <w:szCs w:val="32"/>
          <w:shd w:val="solid" w:color="FFFFFF" w:fill="auto"/>
        </w:rPr>
        <w:t xml:space="preserve">  </w:t>
      </w:r>
    </w:p>
    <w:p w:rsidR="00E6662F" w:rsidRDefault="00E6662F" w:rsidP="00837569">
      <w:pPr>
        <w:pStyle w:val="NormalWeb"/>
        <w:widowControl/>
        <w:spacing w:line="480" w:lineRule="atLeast"/>
        <w:ind w:firstLineChars="300" w:firstLine="31680"/>
        <w:rPr>
          <w:rFonts w:ascii="仿宋" w:eastAsia="仿宋" w:hAnsi="仿宋" w:cs="Times New Roman"/>
          <w:color w:val="333333"/>
          <w:sz w:val="32"/>
          <w:szCs w:val="32"/>
        </w:rPr>
      </w:pPr>
      <w:r>
        <w:rPr>
          <w:rFonts w:ascii="仿宋" w:eastAsia="仿宋" w:hAnsi="仿宋" w:cs="仿宋" w:hint="eastAsia"/>
          <w:b/>
          <w:bCs/>
          <w:color w:val="333333"/>
          <w:sz w:val="32"/>
          <w:szCs w:val="32"/>
        </w:rPr>
        <w:t>三、企业国有产权转让信息披露</w:t>
      </w:r>
    </w:p>
    <w:p w:rsidR="00E6662F" w:rsidRDefault="00E6662F" w:rsidP="00837569">
      <w:pPr>
        <w:pStyle w:val="NormalWeb"/>
        <w:widowControl/>
        <w:spacing w:line="480" w:lineRule="atLeast"/>
        <w:ind w:firstLineChars="200" w:firstLine="31680"/>
        <w:rPr>
          <w:rFonts w:ascii="仿宋" w:eastAsia="仿宋" w:hAnsi="仿宋" w:cs="Times New Roman"/>
          <w:sz w:val="32"/>
          <w:szCs w:val="32"/>
        </w:rPr>
      </w:pPr>
      <w:r>
        <w:rPr>
          <w:rFonts w:ascii="仿宋" w:eastAsia="仿宋" w:hAnsi="仿宋" w:cs="仿宋" w:hint="eastAsia"/>
          <w:color w:val="333333"/>
          <w:sz w:val="32"/>
          <w:szCs w:val="32"/>
        </w:rPr>
        <w:t>（一）产权转让原则上通过产权市场公开进行。转让方可以根据企业实际情况和工作进度安排，采取信息预披露和正式披露相结合的方式，通过产权交易机构网站分阶段对外披露产权转让信息，公开征集受让方。其中正式披露信息时间不得少于</w:t>
      </w:r>
      <w:r>
        <w:rPr>
          <w:rFonts w:ascii="仿宋" w:eastAsia="仿宋" w:hAnsi="仿宋" w:cs="仿宋"/>
          <w:color w:val="333333"/>
          <w:sz w:val="32"/>
          <w:szCs w:val="32"/>
        </w:rPr>
        <w:t>20</w:t>
      </w:r>
      <w:r>
        <w:rPr>
          <w:rFonts w:ascii="仿宋" w:eastAsia="仿宋" w:hAnsi="仿宋" w:cs="仿宋" w:hint="eastAsia"/>
          <w:color w:val="333333"/>
          <w:sz w:val="32"/>
          <w:szCs w:val="32"/>
        </w:rPr>
        <w:t>个工作日。</w:t>
      </w:r>
    </w:p>
    <w:p w:rsidR="00E6662F" w:rsidRDefault="00E6662F">
      <w:pPr>
        <w:pStyle w:val="NormalWeb"/>
        <w:widowControl/>
        <w:spacing w:line="480" w:lineRule="atLeast"/>
        <w:ind w:firstLine="420"/>
        <w:rPr>
          <w:rFonts w:ascii="仿宋" w:eastAsia="仿宋" w:hAnsi="仿宋" w:cs="Times New Roman"/>
          <w:sz w:val="32"/>
          <w:szCs w:val="32"/>
        </w:rPr>
      </w:pPr>
      <w:r>
        <w:rPr>
          <w:rFonts w:ascii="仿宋" w:eastAsia="仿宋" w:hAnsi="仿宋" w:cs="仿宋" w:hint="eastAsia"/>
          <w:color w:val="333333"/>
          <w:sz w:val="32"/>
          <w:szCs w:val="32"/>
        </w:rPr>
        <w:t>因产权转让导致转让标的企业的实际控制权发生转移的，转让方应当在转让行为获批后</w:t>
      </w:r>
      <w:r>
        <w:rPr>
          <w:rFonts w:ascii="仿宋" w:eastAsia="仿宋" w:hAnsi="仿宋" w:cs="仿宋"/>
          <w:color w:val="333333"/>
          <w:sz w:val="32"/>
          <w:szCs w:val="32"/>
        </w:rPr>
        <w:t>10</w:t>
      </w:r>
      <w:r>
        <w:rPr>
          <w:rFonts w:ascii="仿宋" w:eastAsia="仿宋" w:hAnsi="仿宋" w:cs="仿宋" w:hint="eastAsia"/>
          <w:color w:val="333333"/>
          <w:sz w:val="32"/>
          <w:szCs w:val="32"/>
        </w:rPr>
        <w:t>个工作日内，通过产权交易机构进行信息预披露，时间不得少于</w:t>
      </w:r>
      <w:r>
        <w:rPr>
          <w:rFonts w:ascii="仿宋" w:eastAsia="仿宋" w:hAnsi="仿宋" w:cs="仿宋"/>
          <w:color w:val="333333"/>
          <w:sz w:val="32"/>
          <w:szCs w:val="32"/>
        </w:rPr>
        <w:t>20</w:t>
      </w:r>
      <w:r>
        <w:rPr>
          <w:rFonts w:ascii="仿宋" w:eastAsia="仿宋" w:hAnsi="仿宋" w:cs="仿宋" w:hint="eastAsia"/>
          <w:color w:val="333333"/>
          <w:sz w:val="32"/>
          <w:szCs w:val="32"/>
        </w:rPr>
        <w:t>个工作日。</w:t>
      </w:r>
    </w:p>
    <w:p w:rsidR="00E6662F" w:rsidRDefault="00E6662F">
      <w:pPr>
        <w:pStyle w:val="NormalWeb"/>
        <w:widowControl/>
        <w:spacing w:line="480" w:lineRule="atLeast"/>
        <w:ind w:firstLine="420"/>
        <w:rPr>
          <w:rFonts w:ascii="仿宋" w:eastAsia="仿宋" w:hAnsi="仿宋" w:cs="Times New Roman"/>
          <w:sz w:val="32"/>
          <w:szCs w:val="32"/>
        </w:rPr>
      </w:pPr>
      <w:r>
        <w:rPr>
          <w:rFonts w:ascii="仿宋" w:eastAsia="仿宋" w:hAnsi="仿宋" w:cs="仿宋" w:hint="eastAsia"/>
          <w:color w:val="333333"/>
          <w:sz w:val="32"/>
          <w:szCs w:val="32"/>
        </w:rPr>
        <w:t>（二）产权转让原则上不得针对受让方设置资格条件，确需设置的，不得有明确指向性或违反公平竞争原则，所设资格条件相关内容应当在信息披露前报同级国资监管机构备案，国资监管机构在</w:t>
      </w:r>
      <w:r>
        <w:rPr>
          <w:rFonts w:ascii="仿宋" w:eastAsia="仿宋" w:hAnsi="仿宋" w:cs="仿宋"/>
          <w:color w:val="333333"/>
          <w:sz w:val="32"/>
          <w:szCs w:val="32"/>
        </w:rPr>
        <w:t>5</w:t>
      </w:r>
      <w:r>
        <w:rPr>
          <w:rFonts w:ascii="仿宋" w:eastAsia="仿宋" w:hAnsi="仿宋" w:cs="仿宋" w:hint="eastAsia"/>
          <w:color w:val="333333"/>
          <w:sz w:val="32"/>
          <w:szCs w:val="32"/>
        </w:rPr>
        <w:t>个工作日内未反馈意见的视为同意。</w:t>
      </w:r>
    </w:p>
    <w:p w:rsidR="00E6662F" w:rsidRDefault="00E6662F">
      <w:pPr>
        <w:pStyle w:val="NormalWeb"/>
        <w:widowControl/>
        <w:spacing w:line="480" w:lineRule="atLeast"/>
        <w:ind w:firstLine="420"/>
        <w:rPr>
          <w:rFonts w:ascii="仿宋" w:eastAsia="仿宋" w:hAnsi="仿宋" w:cs="Times New Roman"/>
          <w:sz w:val="32"/>
          <w:szCs w:val="32"/>
        </w:rPr>
      </w:pPr>
      <w:r>
        <w:rPr>
          <w:rFonts w:ascii="仿宋" w:eastAsia="仿宋" w:hAnsi="仿宋" w:cs="仿宋" w:hint="eastAsia"/>
          <w:color w:val="333333"/>
          <w:sz w:val="32"/>
          <w:szCs w:val="32"/>
        </w:rPr>
        <w:t>（三）转让方披露信息包括但不限于以下内容：</w:t>
      </w:r>
    </w:p>
    <w:p w:rsidR="00E6662F" w:rsidRDefault="00E6662F">
      <w:pPr>
        <w:pStyle w:val="NormalWeb"/>
        <w:widowControl/>
        <w:spacing w:line="480" w:lineRule="atLeast"/>
        <w:ind w:firstLine="420"/>
        <w:rPr>
          <w:rFonts w:ascii="仿宋" w:eastAsia="仿宋" w:hAnsi="仿宋" w:cs="Times New Roman"/>
          <w:sz w:val="32"/>
          <w:szCs w:val="32"/>
        </w:rPr>
      </w:pPr>
      <w:r>
        <w:rPr>
          <w:rFonts w:ascii="仿宋" w:eastAsia="仿宋" w:hAnsi="仿宋" w:cs="仿宋"/>
          <w:color w:val="333333"/>
          <w:sz w:val="32"/>
          <w:szCs w:val="32"/>
        </w:rPr>
        <w:t>1.</w:t>
      </w:r>
      <w:r>
        <w:rPr>
          <w:rFonts w:ascii="仿宋" w:eastAsia="仿宋" w:hAnsi="仿宋" w:cs="仿宋" w:hint="eastAsia"/>
          <w:color w:val="333333"/>
          <w:sz w:val="32"/>
          <w:szCs w:val="32"/>
        </w:rPr>
        <w:t>转让标的基本情况；</w:t>
      </w:r>
    </w:p>
    <w:p w:rsidR="00E6662F" w:rsidRDefault="00E6662F">
      <w:pPr>
        <w:pStyle w:val="NormalWeb"/>
        <w:widowControl/>
        <w:spacing w:line="480" w:lineRule="atLeast"/>
        <w:ind w:firstLine="420"/>
        <w:rPr>
          <w:rFonts w:ascii="仿宋" w:eastAsia="仿宋" w:hAnsi="仿宋" w:cs="Times New Roman"/>
          <w:sz w:val="32"/>
          <w:szCs w:val="32"/>
        </w:rPr>
      </w:pPr>
      <w:r>
        <w:rPr>
          <w:rFonts w:ascii="仿宋" w:eastAsia="仿宋" w:hAnsi="仿宋" w:cs="仿宋"/>
          <w:color w:val="333333"/>
          <w:sz w:val="32"/>
          <w:szCs w:val="32"/>
        </w:rPr>
        <w:t>2.</w:t>
      </w:r>
      <w:r>
        <w:rPr>
          <w:rFonts w:ascii="仿宋" w:eastAsia="仿宋" w:hAnsi="仿宋" w:cs="仿宋" w:hint="eastAsia"/>
          <w:color w:val="333333"/>
          <w:sz w:val="32"/>
          <w:szCs w:val="32"/>
        </w:rPr>
        <w:t>转让标的企业的股东结构；</w:t>
      </w:r>
    </w:p>
    <w:p w:rsidR="00E6662F" w:rsidRDefault="00E6662F">
      <w:pPr>
        <w:pStyle w:val="NormalWeb"/>
        <w:widowControl/>
        <w:spacing w:line="480" w:lineRule="atLeast"/>
        <w:ind w:firstLine="420"/>
        <w:rPr>
          <w:rFonts w:ascii="仿宋" w:eastAsia="仿宋" w:hAnsi="仿宋" w:cs="Times New Roman"/>
          <w:sz w:val="32"/>
          <w:szCs w:val="32"/>
        </w:rPr>
      </w:pPr>
      <w:r>
        <w:rPr>
          <w:rFonts w:ascii="仿宋" w:eastAsia="仿宋" w:hAnsi="仿宋" w:cs="仿宋"/>
          <w:color w:val="333333"/>
          <w:sz w:val="32"/>
          <w:szCs w:val="32"/>
        </w:rPr>
        <w:t>3.</w:t>
      </w:r>
      <w:r>
        <w:rPr>
          <w:rFonts w:ascii="仿宋" w:eastAsia="仿宋" w:hAnsi="仿宋" w:cs="仿宋" w:hint="eastAsia"/>
          <w:color w:val="333333"/>
          <w:sz w:val="32"/>
          <w:szCs w:val="32"/>
        </w:rPr>
        <w:t>产权转让行为的决策及批准情况；</w:t>
      </w:r>
    </w:p>
    <w:p w:rsidR="00E6662F" w:rsidRDefault="00E6662F">
      <w:pPr>
        <w:pStyle w:val="NormalWeb"/>
        <w:widowControl/>
        <w:spacing w:line="480" w:lineRule="atLeast"/>
        <w:ind w:firstLine="420"/>
        <w:rPr>
          <w:rFonts w:ascii="仿宋" w:eastAsia="仿宋" w:hAnsi="仿宋" w:cs="Times New Roman"/>
          <w:sz w:val="32"/>
          <w:szCs w:val="32"/>
        </w:rPr>
      </w:pPr>
      <w:r>
        <w:rPr>
          <w:rFonts w:ascii="仿宋" w:eastAsia="仿宋" w:hAnsi="仿宋" w:cs="仿宋"/>
          <w:color w:val="333333"/>
          <w:sz w:val="32"/>
          <w:szCs w:val="32"/>
        </w:rPr>
        <w:t>4.</w:t>
      </w:r>
      <w:r>
        <w:rPr>
          <w:rFonts w:ascii="仿宋" w:eastAsia="仿宋" w:hAnsi="仿宋" w:cs="仿宋" w:hint="eastAsia"/>
          <w:color w:val="333333"/>
          <w:sz w:val="32"/>
          <w:szCs w:val="32"/>
        </w:rPr>
        <w:t>转让标的企业最近一个年度审计报告和最近一期财务报表中的主要财务指标数据，包括但不限于资产总额、负债总额、所有者权益、营业收入、净利润等（转让参股权的，披露最近一个年度审计报告中的相应数据）；</w:t>
      </w:r>
    </w:p>
    <w:p w:rsidR="00E6662F" w:rsidRDefault="00E6662F">
      <w:pPr>
        <w:pStyle w:val="NormalWeb"/>
        <w:widowControl/>
        <w:spacing w:line="480" w:lineRule="atLeast"/>
        <w:ind w:firstLine="420"/>
        <w:rPr>
          <w:rFonts w:ascii="仿宋" w:eastAsia="仿宋" w:hAnsi="仿宋" w:cs="Times New Roman"/>
          <w:sz w:val="32"/>
          <w:szCs w:val="32"/>
        </w:rPr>
      </w:pPr>
      <w:r>
        <w:rPr>
          <w:rFonts w:ascii="仿宋" w:eastAsia="仿宋" w:hAnsi="仿宋" w:cs="仿宋"/>
          <w:color w:val="333333"/>
          <w:sz w:val="32"/>
          <w:szCs w:val="32"/>
        </w:rPr>
        <w:t>5.</w:t>
      </w:r>
      <w:r>
        <w:rPr>
          <w:rFonts w:ascii="仿宋" w:eastAsia="仿宋" w:hAnsi="仿宋" w:cs="仿宋" w:hint="eastAsia"/>
          <w:color w:val="333333"/>
          <w:sz w:val="32"/>
          <w:szCs w:val="32"/>
        </w:rPr>
        <w:t>受让方资格条件（适用于对受让方有特殊要求的情形）；</w:t>
      </w:r>
    </w:p>
    <w:p w:rsidR="00E6662F" w:rsidRDefault="00E6662F">
      <w:pPr>
        <w:pStyle w:val="NormalWeb"/>
        <w:widowControl/>
        <w:spacing w:line="480" w:lineRule="atLeast"/>
        <w:ind w:firstLine="420"/>
        <w:rPr>
          <w:rFonts w:ascii="仿宋" w:eastAsia="仿宋" w:hAnsi="仿宋" w:cs="Times New Roman"/>
          <w:sz w:val="32"/>
          <w:szCs w:val="32"/>
        </w:rPr>
      </w:pPr>
      <w:r>
        <w:rPr>
          <w:rFonts w:ascii="仿宋" w:eastAsia="仿宋" w:hAnsi="仿宋" w:cs="仿宋"/>
          <w:color w:val="333333"/>
          <w:sz w:val="32"/>
          <w:szCs w:val="32"/>
        </w:rPr>
        <w:t>6.</w:t>
      </w:r>
      <w:r>
        <w:rPr>
          <w:rFonts w:ascii="仿宋" w:eastAsia="仿宋" w:hAnsi="仿宋" w:cs="仿宋" w:hint="eastAsia"/>
          <w:color w:val="333333"/>
          <w:sz w:val="32"/>
          <w:szCs w:val="32"/>
        </w:rPr>
        <w:t>交易条件、转让底价；</w:t>
      </w:r>
    </w:p>
    <w:p w:rsidR="00E6662F" w:rsidRDefault="00E6662F">
      <w:pPr>
        <w:pStyle w:val="NormalWeb"/>
        <w:widowControl/>
        <w:spacing w:line="480" w:lineRule="atLeast"/>
        <w:ind w:firstLine="420"/>
        <w:rPr>
          <w:rFonts w:ascii="仿宋" w:eastAsia="仿宋" w:hAnsi="仿宋" w:cs="Times New Roman"/>
          <w:sz w:val="32"/>
          <w:szCs w:val="32"/>
        </w:rPr>
      </w:pPr>
      <w:r>
        <w:rPr>
          <w:rFonts w:ascii="仿宋" w:eastAsia="仿宋" w:hAnsi="仿宋" w:cs="仿宋"/>
          <w:color w:val="333333"/>
          <w:sz w:val="32"/>
          <w:szCs w:val="32"/>
        </w:rPr>
        <w:t>7.</w:t>
      </w:r>
      <w:r>
        <w:rPr>
          <w:rFonts w:ascii="仿宋" w:eastAsia="仿宋" w:hAnsi="仿宋" w:cs="仿宋" w:hint="eastAsia"/>
          <w:color w:val="333333"/>
          <w:sz w:val="32"/>
          <w:szCs w:val="32"/>
        </w:rPr>
        <w:t>企业管理层是否参与受让，有限责任公司原股东是否放弃优先受让权；</w:t>
      </w:r>
    </w:p>
    <w:p w:rsidR="00E6662F" w:rsidRDefault="00E6662F">
      <w:pPr>
        <w:pStyle w:val="NormalWeb"/>
        <w:widowControl/>
        <w:spacing w:line="480" w:lineRule="atLeast"/>
        <w:ind w:firstLine="420"/>
        <w:rPr>
          <w:rFonts w:ascii="仿宋" w:eastAsia="仿宋" w:hAnsi="仿宋" w:cs="Times New Roman"/>
          <w:sz w:val="32"/>
          <w:szCs w:val="32"/>
        </w:rPr>
      </w:pPr>
      <w:r>
        <w:rPr>
          <w:rFonts w:ascii="仿宋" w:eastAsia="仿宋" w:hAnsi="仿宋" w:cs="仿宋"/>
          <w:color w:val="333333"/>
          <w:sz w:val="32"/>
          <w:szCs w:val="32"/>
        </w:rPr>
        <w:t>8.</w:t>
      </w:r>
      <w:r>
        <w:rPr>
          <w:rFonts w:ascii="仿宋" w:eastAsia="仿宋" w:hAnsi="仿宋" w:cs="仿宋" w:hint="eastAsia"/>
          <w:color w:val="333333"/>
          <w:sz w:val="32"/>
          <w:szCs w:val="32"/>
        </w:rPr>
        <w:t>竞价方式，受让方选择的相关评判标准；</w:t>
      </w:r>
    </w:p>
    <w:p w:rsidR="00E6662F" w:rsidRDefault="00E6662F">
      <w:pPr>
        <w:pStyle w:val="NormalWeb"/>
        <w:widowControl/>
        <w:spacing w:line="480" w:lineRule="atLeast"/>
        <w:ind w:firstLine="420"/>
        <w:rPr>
          <w:rFonts w:ascii="仿宋" w:eastAsia="仿宋" w:hAnsi="仿宋" w:cs="Times New Roman"/>
          <w:sz w:val="32"/>
          <w:szCs w:val="32"/>
        </w:rPr>
      </w:pPr>
      <w:r>
        <w:rPr>
          <w:rFonts w:ascii="仿宋" w:eastAsia="仿宋" w:hAnsi="仿宋" w:cs="仿宋"/>
          <w:color w:val="333333"/>
          <w:sz w:val="32"/>
          <w:szCs w:val="32"/>
        </w:rPr>
        <w:t>9.</w:t>
      </w:r>
      <w:r>
        <w:rPr>
          <w:rFonts w:ascii="仿宋" w:eastAsia="仿宋" w:hAnsi="仿宋" w:cs="仿宋" w:hint="eastAsia"/>
          <w:color w:val="333333"/>
          <w:sz w:val="32"/>
          <w:szCs w:val="32"/>
        </w:rPr>
        <w:t>其他需要披露的事项。</w:t>
      </w:r>
    </w:p>
    <w:p w:rsidR="00E6662F" w:rsidRDefault="00E6662F">
      <w:pPr>
        <w:pStyle w:val="NormalWeb"/>
        <w:widowControl/>
        <w:spacing w:line="480" w:lineRule="atLeast"/>
        <w:ind w:firstLine="420"/>
        <w:rPr>
          <w:rFonts w:ascii="仿宋" w:eastAsia="仿宋" w:hAnsi="仿宋" w:cs="Times New Roman"/>
          <w:sz w:val="32"/>
          <w:szCs w:val="32"/>
        </w:rPr>
      </w:pPr>
      <w:r>
        <w:rPr>
          <w:rFonts w:ascii="仿宋" w:eastAsia="仿宋" w:hAnsi="仿宋" w:cs="仿宋" w:hint="eastAsia"/>
          <w:color w:val="333333"/>
          <w:sz w:val="32"/>
          <w:szCs w:val="32"/>
        </w:rPr>
        <w:t>其中信息预披露应当包括但不限于以上</w:t>
      </w:r>
      <w:r>
        <w:rPr>
          <w:rFonts w:ascii="仿宋" w:eastAsia="仿宋" w:hAnsi="仿宋" w:cs="仿宋"/>
          <w:color w:val="333333"/>
          <w:sz w:val="32"/>
          <w:szCs w:val="32"/>
        </w:rPr>
        <w:t>1</w:t>
      </w:r>
      <w:r>
        <w:rPr>
          <w:rFonts w:ascii="仿宋" w:eastAsia="仿宋" w:hAnsi="仿宋" w:cs="仿宋" w:hint="eastAsia"/>
          <w:color w:val="333333"/>
          <w:sz w:val="32"/>
          <w:szCs w:val="32"/>
        </w:rPr>
        <w:t>、</w:t>
      </w:r>
      <w:r>
        <w:rPr>
          <w:rFonts w:ascii="仿宋" w:eastAsia="仿宋" w:hAnsi="仿宋" w:cs="仿宋"/>
          <w:color w:val="333333"/>
          <w:sz w:val="32"/>
          <w:szCs w:val="32"/>
        </w:rPr>
        <w:t>2</w:t>
      </w:r>
      <w:r>
        <w:rPr>
          <w:rFonts w:ascii="仿宋" w:eastAsia="仿宋" w:hAnsi="仿宋" w:cs="仿宋" w:hint="eastAsia"/>
          <w:color w:val="333333"/>
          <w:sz w:val="32"/>
          <w:szCs w:val="32"/>
        </w:rPr>
        <w:t>、</w:t>
      </w:r>
      <w:r>
        <w:rPr>
          <w:rFonts w:ascii="仿宋" w:eastAsia="仿宋" w:hAnsi="仿宋" w:cs="仿宋"/>
          <w:color w:val="333333"/>
          <w:sz w:val="32"/>
          <w:szCs w:val="32"/>
        </w:rPr>
        <w:t>3</w:t>
      </w:r>
      <w:r>
        <w:rPr>
          <w:rFonts w:ascii="仿宋" w:eastAsia="仿宋" w:hAnsi="仿宋" w:cs="仿宋" w:hint="eastAsia"/>
          <w:color w:val="333333"/>
          <w:sz w:val="32"/>
          <w:szCs w:val="32"/>
        </w:rPr>
        <w:t>、</w:t>
      </w:r>
      <w:r>
        <w:rPr>
          <w:rFonts w:ascii="仿宋" w:eastAsia="仿宋" w:hAnsi="仿宋" w:cs="仿宋"/>
          <w:color w:val="333333"/>
          <w:sz w:val="32"/>
          <w:szCs w:val="32"/>
        </w:rPr>
        <w:t>4</w:t>
      </w:r>
      <w:r>
        <w:rPr>
          <w:rFonts w:ascii="仿宋" w:eastAsia="仿宋" w:hAnsi="仿宋" w:cs="仿宋" w:hint="eastAsia"/>
          <w:color w:val="333333"/>
          <w:sz w:val="32"/>
          <w:szCs w:val="32"/>
        </w:rPr>
        <w:t>、</w:t>
      </w:r>
      <w:r>
        <w:rPr>
          <w:rFonts w:ascii="仿宋" w:eastAsia="仿宋" w:hAnsi="仿宋" w:cs="仿宋"/>
          <w:color w:val="333333"/>
          <w:sz w:val="32"/>
          <w:szCs w:val="32"/>
        </w:rPr>
        <w:t>5</w:t>
      </w:r>
      <w:r>
        <w:rPr>
          <w:rFonts w:ascii="仿宋" w:eastAsia="仿宋" w:hAnsi="仿宋" w:cs="仿宋" w:hint="eastAsia"/>
          <w:color w:val="333333"/>
          <w:sz w:val="32"/>
          <w:szCs w:val="32"/>
        </w:rPr>
        <w:t>款内容。</w:t>
      </w:r>
    </w:p>
    <w:p w:rsidR="00E6662F" w:rsidRDefault="00E6662F">
      <w:pPr>
        <w:pStyle w:val="NormalWeb"/>
        <w:widowControl/>
        <w:spacing w:line="480" w:lineRule="atLeast"/>
        <w:ind w:firstLine="420"/>
        <w:rPr>
          <w:rFonts w:ascii="仿宋" w:eastAsia="仿宋" w:hAnsi="仿宋" w:cs="Times New Roman"/>
          <w:b/>
          <w:bCs/>
          <w:sz w:val="32"/>
          <w:szCs w:val="32"/>
        </w:rPr>
      </w:pPr>
      <w:r>
        <w:rPr>
          <w:rFonts w:ascii="仿宋" w:eastAsia="仿宋" w:hAnsi="仿宋" w:cs="仿宋" w:hint="eastAsia"/>
          <w:b/>
          <w:bCs/>
          <w:color w:val="333333"/>
          <w:sz w:val="32"/>
          <w:szCs w:val="32"/>
        </w:rPr>
        <w:t>四、企业国有</w:t>
      </w:r>
      <w:bookmarkStart w:id="0" w:name="_GoBack"/>
      <w:bookmarkEnd w:id="0"/>
      <w:r>
        <w:rPr>
          <w:rFonts w:ascii="仿宋" w:eastAsia="仿宋" w:hAnsi="仿宋" w:cs="仿宋" w:hint="eastAsia"/>
          <w:b/>
          <w:bCs/>
          <w:color w:val="333333"/>
          <w:sz w:val="32"/>
          <w:szCs w:val="32"/>
        </w:rPr>
        <w:t>资产转让</w:t>
      </w:r>
    </w:p>
    <w:p w:rsidR="00E6662F" w:rsidRDefault="00E6662F">
      <w:pPr>
        <w:pStyle w:val="NormalWeb"/>
        <w:widowControl/>
        <w:spacing w:line="480" w:lineRule="atLeast"/>
        <w:ind w:firstLine="420"/>
        <w:rPr>
          <w:rFonts w:ascii="仿宋" w:eastAsia="仿宋" w:hAnsi="仿宋" w:cs="Times New Roman"/>
          <w:sz w:val="32"/>
          <w:szCs w:val="32"/>
        </w:rPr>
      </w:pPr>
      <w:r>
        <w:rPr>
          <w:rFonts w:ascii="仿宋" w:eastAsia="仿宋" w:hAnsi="仿宋" w:cs="仿宋" w:hint="eastAsia"/>
          <w:color w:val="333333"/>
          <w:sz w:val="32"/>
          <w:szCs w:val="32"/>
        </w:rPr>
        <w:t>企业资产转让的具体工作流程参照企业产权转让的规定执行。</w:t>
      </w:r>
    </w:p>
    <w:p w:rsidR="00E6662F" w:rsidRDefault="00E6662F" w:rsidP="00837569">
      <w:pPr>
        <w:pStyle w:val="NormalWeb"/>
        <w:widowControl/>
        <w:spacing w:line="480" w:lineRule="atLeast"/>
        <w:ind w:firstLineChars="200" w:firstLine="31680"/>
        <w:rPr>
          <w:rFonts w:ascii="仿宋" w:eastAsia="仿宋" w:hAnsi="仿宋" w:cs="Times New Roman"/>
          <w:sz w:val="32"/>
          <w:szCs w:val="32"/>
        </w:rPr>
      </w:pPr>
      <w:r>
        <w:rPr>
          <w:rFonts w:ascii="仿宋" w:eastAsia="仿宋" w:hAnsi="仿宋" w:cs="仿宋" w:hint="eastAsia"/>
          <w:color w:val="333333"/>
          <w:sz w:val="32"/>
          <w:szCs w:val="32"/>
        </w:rPr>
        <w:t>（一）企业一定金额以上的生产设备、房产、在建工程以及土地使用权、债权、知识产权等资产对外转让，应当按照企业内部管理制度履行相应决策程序后，在产权交易机构公开进行。涉及国家出资企业内部或特定行业的资产转让，确需在国有及国有控股、国有实际控制企业之间非公开转让的，由转让方逐级报国家出资企业审核批准。</w:t>
      </w:r>
    </w:p>
    <w:p w:rsidR="00E6662F" w:rsidRDefault="00E6662F">
      <w:pPr>
        <w:pStyle w:val="NormalWeb"/>
        <w:widowControl/>
        <w:spacing w:line="480" w:lineRule="atLeast"/>
        <w:ind w:firstLine="420"/>
        <w:rPr>
          <w:rFonts w:ascii="仿宋" w:eastAsia="仿宋" w:hAnsi="仿宋" w:cs="Times New Roman"/>
          <w:sz w:val="32"/>
          <w:szCs w:val="32"/>
        </w:rPr>
      </w:pPr>
      <w:r>
        <w:rPr>
          <w:rFonts w:ascii="仿宋" w:eastAsia="仿宋" w:hAnsi="仿宋" w:cs="仿宋" w:hint="eastAsia"/>
          <w:color w:val="333333"/>
          <w:sz w:val="32"/>
          <w:szCs w:val="32"/>
        </w:rPr>
        <w:t>（二）转让方应当根据转让标的情况合理确定转让底价和转让信息公告期：</w:t>
      </w:r>
    </w:p>
    <w:p w:rsidR="00E6662F" w:rsidRDefault="00E6662F">
      <w:pPr>
        <w:pStyle w:val="NormalWeb"/>
        <w:widowControl/>
        <w:spacing w:line="480" w:lineRule="atLeast"/>
        <w:ind w:firstLine="420"/>
        <w:rPr>
          <w:rFonts w:ascii="仿宋" w:eastAsia="仿宋" w:hAnsi="仿宋" w:cs="Times New Roman"/>
          <w:sz w:val="32"/>
          <w:szCs w:val="32"/>
        </w:rPr>
      </w:pPr>
      <w:r>
        <w:rPr>
          <w:rFonts w:ascii="仿宋" w:eastAsia="仿宋" w:hAnsi="仿宋" w:cs="仿宋"/>
          <w:color w:val="333333"/>
          <w:sz w:val="32"/>
          <w:szCs w:val="32"/>
        </w:rPr>
        <w:t>1.</w:t>
      </w:r>
      <w:r>
        <w:rPr>
          <w:rFonts w:ascii="仿宋" w:eastAsia="仿宋" w:hAnsi="仿宋" w:cs="仿宋" w:hint="eastAsia"/>
          <w:color w:val="333333"/>
          <w:sz w:val="32"/>
          <w:szCs w:val="32"/>
        </w:rPr>
        <w:t>转让底价高于</w:t>
      </w:r>
      <w:r>
        <w:rPr>
          <w:rFonts w:ascii="仿宋" w:eastAsia="仿宋" w:hAnsi="仿宋" w:cs="仿宋"/>
          <w:color w:val="333333"/>
          <w:sz w:val="32"/>
          <w:szCs w:val="32"/>
        </w:rPr>
        <w:t>100</w:t>
      </w:r>
      <w:r>
        <w:rPr>
          <w:rFonts w:ascii="仿宋" w:eastAsia="仿宋" w:hAnsi="仿宋" w:cs="仿宋" w:hint="eastAsia"/>
          <w:color w:val="333333"/>
          <w:sz w:val="32"/>
          <w:szCs w:val="32"/>
        </w:rPr>
        <w:t>万元、低于</w:t>
      </w:r>
      <w:r>
        <w:rPr>
          <w:rFonts w:ascii="仿宋" w:eastAsia="仿宋" w:hAnsi="仿宋" w:cs="仿宋"/>
          <w:color w:val="333333"/>
          <w:sz w:val="32"/>
          <w:szCs w:val="32"/>
        </w:rPr>
        <w:t>1000</w:t>
      </w:r>
      <w:r>
        <w:rPr>
          <w:rFonts w:ascii="仿宋" w:eastAsia="仿宋" w:hAnsi="仿宋" w:cs="仿宋" w:hint="eastAsia"/>
          <w:color w:val="333333"/>
          <w:sz w:val="32"/>
          <w:szCs w:val="32"/>
        </w:rPr>
        <w:t>万元的资产转让项目，信息公告期应不少于</w:t>
      </w:r>
      <w:r>
        <w:rPr>
          <w:rFonts w:ascii="仿宋" w:eastAsia="仿宋" w:hAnsi="仿宋" w:cs="仿宋"/>
          <w:color w:val="333333"/>
          <w:sz w:val="32"/>
          <w:szCs w:val="32"/>
        </w:rPr>
        <w:t>10</w:t>
      </w:r>
      <w:r>
        <w:rPr>
          <w:rFonts w:ascii="仿宋" w:eastAsia="仿宋" w:hAnsi="仿宋" w:cs="仿宋" w:hint="eastAsia"/>
          <w:color w:val="333333"/>
          <w:sz w:val="32"/>
          <w:szCs w:val="32"/>
        </w:rPr>
        <w:t>个工作日；</w:t>
      </w:r>
    </w:p>
    <w:p w:rsidR="00E6662F" w:rsidRDefault="00E6662F">
      <w:pPr>
        <w:pStyle w:val="NormalWeb"/>
        <w:widowControl/>
        <w:spacing w:line="480" w:lineRule="atLeast"/>
        <w:ind w:firstLine="420"/>
        <w:rPr>
          <w:rFonts w:ascii="仿宋" w:eastAsia="仿宋" w:hAnsi="仿宋" w:cs="Times New Roman"/>
          <w:color w:val="333333"/>
          <w:sz w:val="32"/>
          <w:szCs w:val="32"/>
        </w:rPr>
      </w:pPr>
      <w:r>
        <w:rPr>
          <w:rFonts w:ascii="仿宋" w:eastAsia="仿宋" w:hAnsi="仿宋" w:cs="仿宋"/>
          <w:color w:val="333333"/>
          <w:sz w:val="32"/>
          <w:szCs w:val="32"/>
        </w:rPr>
        <w:t>2.</w:t>
      </w:r>
      <w:r>
        <w:rPr>
          <w:rFonts w:ascii="仿宋" w:eastAsia="仿宋" w:hAnsi="仿宋" w:cs="仿宋" w:hint="eastAsia"/>
          <w:color w:val="333333"/>
          <w:sz w:val="32"/>
          <w:szCs w:val="32"/>
        </w:rPr>
        <w:t>转让底价高于</w:t>
      </w:r>
      <w:r>
        <w:rPr>
          <w:rFonts w:ascii="仿宋" w:eastAsia="仿宋" w:hAnsi="仿宋" w:cs="仿宋"/>
          <w:color w:val="333333"/>
          <w:sz w:val="32"/>
          <w:szCs w:val="32"/>
        </w:rPr>
        <w:t>1000</w:t>
      </w:r>
      <w:r>
        <w:rPr>
          <w:rFonts w:ascii="仿宋" w:eastAsia="仿宋" w:hAnsi="仿宋" w:cs="仿宋" w:hint="eastAsia"/>
          <w:color w:val="333333"/>
          <w:sz w:val="32"/>
          <w:szCs w:val="32"/>
        </w:rPr>
        <w:t>万元的资产转让项目，信息公告期应不少于</w:t>
      </w:r>
      <w:r>
        <w:rPr>
          <w:rFonts w:ascii="仿宋" w:eastAsia="仿宋" w:hAnsi="仿宋" w:cs="仿宋"/>
          <w:color w:val="333333"/>
          <w:sz w:val="32"/>
          <w:szCs w:val="32"/>
        </w:rPr>
        <w:t>20</w:t>
      </w:r>
      <w:r>
        <w:rPr>
          <w:rFonts w:ascii="仿宋" w:eastAsia="仿宋" w:hAnsi="仿宋" w:cs="仿宋" w:hint="eastAsia"/>
          <w:color w:val="333333"/>
          <w:sz w:val="32"/>
          <w:szCs w:val="32"/>
        </w:rPr>
        <w:t>个工作日。</w:t>
      </w:r>
    </w:p>
    <w:p w:rsidR="00E6662F" w:rsidRPr="002D651C" w:rsidRDefault="00E6662F" w:rsidP="002D651C">
      <w:pPr>
        <w:pStyle w:val="NormalWeb"/>
        <w:widowControl/>
        <w:spacing w:line="480" w:lineRule="atLeast"/>
        <w:ind w:firstLine="420"/>
        <w:rPr>
          <w:rFonts w:ascii="仿宋" w:eastAsia="仿宋" w:hAnsi="仿宋" w:cs="Times New Roman"/>
          <w:color w:val="333333"/>
          <w:sz w:val="32"/>
          <w:szCs w:val="32"/>
        </w:rPr>
      </w:pPr>
      <w:r>
        <w:rPr>
          <w:rFonts w:ascii="仿宋" w:eastAsia="仿宋" w:hAnsi="仿宋" w:cs="仿宋" w:hint="eastAsia"/>
          <w:color w:val="333333"/>
          <w:sz w:val="32"/>
          <w:szCs w:val="32"/>
        </w:rPr>
        <w:t>五、</w:t>
      </w:r>
      <w:r w:rsidRPr="002D651C">
        <w:rPr>
          <w:rFonts w:ascii="仿宋" w:eastAsia="仿宋" w:hAnsi="仿宋" w:cs="仿宋" w:hint="eastAsia"/>
          <w:color w:val="333333"/>
          <w:sz w:val="32"/>
          <w:szCs w:val="32"/>
        </w:rPr>
        <w:t>组织保障和监督考核</w:t>
      </w:r>
    </w:p>
    <w:p w:rsidR="00E6662F" w:rsidRPr="002D651C" w:rsidRDefault="00E6662F" w:rsidP="002D651C">
      <w:pPr>
        <w:pStyle w:val="NormalWeb"/>
        <w:widowControl/>
        <w:spacing w:line="480" w:lineRule="atLeast"/>
        <w:ind w:firstLine="420"/>
        <w:rPr>
          <w:rFonts w:ascii="仿宋" w:eastAsia="仿宋" w:hAnsi="仿宋" w:cs="Times New Roman"/>
          <w:color w:val="333333"/>
          <w:sz w:val="32"/>
          <w:szCs w:val="32"/>
        </w:rPr>
      </w:pPr>
      <w:r w:rsidRPr="002D651C">
        <w:rPr>
          <w:rFonts w:ascii="仿宋" w:eastAsia="仿宋" w:hAnsi="仿宋" w:cs="仿宋" w:hint="eastAsia"/>
          <w:color w:val="333333"/>
          <w:sz w:val="32"/>
          <w:szCs w:val="32"/>
        </w:rPr>
        <w:t>加强组织领导，建立健全</w:t>
      </w:r>
      <w:r>
        <w:rPr>
          <w:rFonts w:ascii="仿宋" w:eastAsia="仿宋" w:hAnsi="仿宋" w:cs="仿宋" w:hint="eastAsia"/>
          <w:color w:val="333333"/>
          <w:sz w:val="32"/>
          <w:szCs w:val="32"/>
        </w:rPr>
        <w:t>市国资</w:t>
      </w:r>
      <w:r w:rsidRPr="002D651C">
        <w:rPr>
          <w:rFonts w:ascii="仿宋" w:eastAsia="仿宋" w:hAnsi="仿宋" w:cs="仿宋" w:hint="eastAsia"/>
          <w:color w:val="333333"/>
          <w:sz w:val="32"/>
          <w:szCs w:val="32"/>
        </w:rPr>
        <w:t>系统公共资源配置领域政府信息公开协调机制；以结果为导向加大考核力度；完善监管措施，对</w:t>
      </w:r>
      <w:r>
        <w:rPr>
          <w:rFonts w:ascii="仿宋" w:eastAsia="仿宋" w:hAnsi="仿宋" w:cs="仿宋" w:hint="eastAsia"/>
          <w:color w:val="333333"/>
          <w:sz w:val="32"/>
          <w:szCs w:val="32"/>
        </w:rPr>
        <w:t>市国资委</w:t>
      </w:r>
      <w:r w:rsidRPr="002D651C">
        <w:rPr>
          <w:rFonts w:ascii="仿宋" w:eastAsia="仿宋" w:hAnsi="仿宋" w:cs="仿宋" w:hint="eastAsia"/>
          <w:color w:val="333333"/>
          <w:sz w:val="32"/>
          <w:szCs w:val="32"/>
        </w:rPr>
        <w:t>、项目法人落实本方案情况开展监督检查，接受社会监督。</w:t>
      </w:r>
    </w:p>
    <w:p w:rsidR="00E6662F" w:rsidRDefault="00E6662F">
      <w:pPr>
        <w:pStyle w:val="NormalWeb"/>
        <w:widowControl/>
        <w:spacing w:line="480" w:lineRule="atLeast"/>
        <w:ind w:firstLine="420"/>
        <w:rPr>
          <w:rFonts w:ascii="仿宋" w:eastAsia="仿宋" w:hAnsi="仿宋" w:cs="Times New Roman"/>
          <w:color w:val="333333"/>
          <w:sz w:val="32"/>
          <w:szCs w:val="32"/>
        </w:rPr>
      </w:pPr>
    </w:p>
    <w:p w:rsidR="00E6662F" w:rsidRDefault="00E6662F">
      <w:pPr>
        <w:pStyle w:val="NormalWeb"/>
        <w:widowControl/>
        <w:spacing w:line="480" w:lineRule="atLeast"/>
        <w:ind w:firstLine="420"/>
        <w:rPr>
          <w:rFonts w:ascii="仿宋" w:eastAsia="仿宋" w:hAnsi="仿宋" w:cs="Times New Roman"/>
          <w:color w:val="333333"/>
          <w:sz w:val="32"/>
          <w:szCs w:val="32"/>
        </w:rPr>
      </w:pPr>
    </w:p>
    <w:p w:rsidR="00E6662F" w:rsidRDefault="00E6662F" w:rsidP="00837569">
      <w:pPr>
        <w:pStyle w:val="NormalWeb"/>
        <w:widowControl/>
        <w:spacing w:line="480" w:lineRule="atLeast"/>
        <w:ind w:firstLineChars="1780" w:firstLine="31680"/>
        <w:rPr>
          <w:rFonts w:ascii="仿宋" w:eastAsia="仿宋" w:hAnsi="仿宋" w:cs="Times New Roman"/>
          <w:color w:val="333333"/>
          <w:sz w:val="32"/>
          <w:szCs w:val="32"/>
        </w:rPr>
      </w:pPr>
      <w:r>
        <w:rPr>
          <w:rFonts w:ascii="仿宋" w:eastAsia="仿宋" w:hAnsi="仿宋" w:cs="仿宋" w:hint="eastAsia"/>
          <w:color w:val="333333"/>
          <w:sz w:val="32"/>
          <w:szCs w:val="32"/>
        </w:rPr>
        <w:t>市国资委</w:t>
      </w:r>
    </w:p>
    <w:p w:rsidR="00E6662F" w:rsidRDefault="00E6662F" w:rsidP="00837569">
      <w:pPr>
        <w:pStyle w:val="NormalWeb"/>
        <w:widowControl/>
        <w:spacing w:line="480" w:lineRule="atLeast"/>
        <w:ind w:firstLineChars="1600" w:firstLine="31680"/>
        <w:rPr>
          <w:rFonts w:ascii="仿宋" w:eastAsia="仿宋" w:hAnsi="仿宋" w:cs="Times New Roman"/>
          <w:color w:val="333333"/>
          <w:sz w:val="32"/>
          <w:szCs w:val="32"/>
        </w:rPr>
      </w:pPr>
      <w:r>
        <w:rPr>
          <w:rFonts w:ascii="仿宋" w:eastAsia="仿宋" w:hAnsi="仿宋" w:cs="仿宋"/>
          <w:color w:val="333333"/>
          <w:sz w:val="32"/>
          <w:szCs w:val="32"/>
        </w:rPr>
        <w:t>2018</w:t>
      </w:r>
      <w:r>
        <w:rPr>
          <w:rFonts w:ascii="仿宋" w:eastAsia="仿宋" w:hAnsi="仿宋" w:cs="仿宋" w:hint="eastAsia"/>
          <w:color w:val="333333"/>
          <w:sz w:val="32"/>
          <w:szCs w:val="32"/>
        </w:rPr>
        <w:t>年</w:t>
      </w:r>
      <w:r>
        <w:rPr>
          <w:rFonts w:ascii="仿宋" w:eastAsia="仿宋" w:hAnsi="仿宋" w:cs="仿宋"/>
          <w:color w:val="333333"/>
          <w:sz w:val="32"/>
          <w:szCs w:val="32"/>
        </w:rPr>
        <w:t>9</w:t>
      </w:r>
      <w:r>
        <w:rPr>
          <w:rFonts w:ascii="仿宋" w:eastAsia="仿宋" w:hAnsi="仿宋" w:cs="仿宋" w:hint="eastAsia"/>
          <w:color w:val="333333"/>
          <w:sz w:val="32"/>
          <w:szCs w:val="32"/>
        </w:rPr>
        <w:t>月</w:t>
      </w:r>
      <w:r>
        <w:rPr>
          <w:rFonts w:ascii="仿宋" w:eastAsia="仿宋" w:hAnsi="仿宋" w:cs="仿宋"/>
          <w:color w:val="333333"/>
          <w:sz w:val="32"/>
          <w:szCs w:val="32"/>
        </w:rPr>
        <w:t>5</w:t>
      </w:r>
      <w:r>
        <w:rPr>
          <w:rFonts w:ascii="仿宋" w:eastAsia="仿宋" w:hAnsi="仿宋" w:cs="仿宋" w:hint="eastAsia"/>
          <w:color w:val="333333"/>
          <w:sz w:val="32"/>
          <w:szCs w:val="32"/>
        </w:rPr>
        <w:t>日</w:t>
      </w:r>
    </w:p>
    <w:p w:rsidR="00E6662F" w:rsidRDefault="00E6662F">
      <w:pPr>
        <w:rPr>
          <w:rFonts w:cs="Times New Roman"/>
        </w:rPr>
      </w:pPr>
    </w:p>
    <w:sectPr w:rsidR="00E6662F" w:rsidSect="00CE534D">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662F" w:rsidRDefault="00E6662F" w:rsidP="00CE534D">
      <w:pPr>
        <w:rPr>
          <w:rFonts w:cs="Times New Roman"/>
        </w:rPr>
      </w:pPr>
      <w:r>
        <w:rPr>
          <w:rFonts w:cs="Times New Roman"/>
        </w:rPr>
        <w:separator/>
      </w:r>
    </w:p>
  </w:endnote>
  <w:endnote w:type="continuationSeparator" w:id="0">
    <w:p w:rsidR="00E6662F" w:rsidRDefault="00E6662F" w:rsidP="00CE534D">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662F" w:rsidRDefault="00E6662F">
    <w:pPr>
      <w:pStyle w:val="Footer"/>
      <w:rPr>
        <w:rFonts w:cs="Times New Roman"/>
      </w:rPr>
    </w:pPr>
    <w:r>
      <w:rPr>
        <w:noProof/>
      </w:rPr>
      <w:pict>
        <v:shapetype id="_x0000_t202" coordsize="21600,21600" o:spt="202" path="m,l,21600r21600,l21600,xe">
          <v:stroke joinstyle="miter"/>
          <v:path gradientshapeok="t" o:connecttype="rect"/>
        </v:shapetype>
        <v:shape id="_x0000_s2049" type="#_x0000_t202" style="position:absolute;margin-left:0;margin-top:0;width:2in;height:2in;z-index:251660288;mso-wrap-style:none;mso-position-horizontal:center;mso-position-horizontal-relative:margin" filled="f" stroked="f" strokeweight=".5pt">
          <v:textbox style="mso-fit-shape-to-text:t" inset="0,0,0,0">
            <w:txbxContent>
              <w:p w:rsidR="00E6662F" w:rsidRDefault="00E6662F">
                <w:pPr>
                  <w:pStyle w:val="Footer"/>
                  <w:rPr>
                    <w:rFonts w:cs="Times New Roman"/>
                  </w:rPr>
                </w:pPr>
                <w:fldSimple w:instr=" PAGE  \* MERGEFORMAT ">
                  <w:r>
                    <w:rPr>
                      <w:noProof/>
                    </w:rPr>
                    <w:t>5</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662F" w:rsidRDefault="00E6662F" w:rsidP="00CE534D">
      <w:pPr>
        <w:rPr>
          <w:rFonts w:cs="Times New Roman"/>
        </w:rPr>
      </w:pPr>
      <w:r>
        <w:rPr>
          <w:rFonts w:cs="Times New Roman"/>
        </w:rPr>
        <w:separator/>
      </w:r>
    </w:p>
  </w:footnote>
  <w:footnote w:type="continuationSeparator" w:id="0">
    <w:p w:rsidR="00E6662F" w:rsidRDefault="00E6662F" w:rsidP="00CE534D">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6EDE7B9F"/>
    <w:rsid w:val="002004AA"/>
    <w:rsid w:val="002B20A5"/>
    <w:rsid w:val="002D651C"/>
    <w:rsid w:val="004932E8"/>
    <w:rsid w:val="00837569"/>
    <w:rsid w:val="009530C0"/>
    <w:rsid w:val="00CE534D"/>
    <w:rsid w:val="00DE66D8"/>
    <w:rsid w:val="00E6662F"/>
    <w:rsid w:val="00F25C2A"/>
    <w:rsid w:val="00F956DF"/>
    <w:rsid w:val="0F3665D1"/>
    <w:rsid w:val="6D535020"/>
    <w:rsid w:val="6EDE7B9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534D"/>
    <w:pPr>
      <w:widowControl w:val="0"/>
      <w:jc w:val="both"/>
    </w:pPr>
    <w:rPr>
      <w:rFonts w:ascii="Calibri" w:hAnsi="Calibri"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E534D"/>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Pr>
      <w:rFonts w:ascii="Calibri" w:hAnsi="Calibri" w:cs="Calibri"/>
      <w:sz w:val="18"/>
      <w:szCs w:val="18"/>
    </w:rPr>
  </w:style>
  <w:style w:type="paragraph" w:styleId="Header">
    <w:name w:val="header"/>
    <w:basedOn w:val="Normal"/>
    <w:link w:val="HeaderChar"/>
    <w:uiPriority w:val="99"/>
    <w:rsid w:val="00CE534D"/>
    <w:pPr>
      <w:pBdr>
        <w:top w:val="none" w:sz="0" w:space="1" w:color="auto"/>
        <w:left w:val="none" w:sz="0" w:space="4" w:color="auto"/>
        <w:bottom w:val="none" w:sz="0" w:space="1" w:color="auto"/>
        <w:right w:val="none" w:sz="0" w:space="4" w:color="auto"/>
      </w:pBdr>
      <w:tabs>
        <w:tab w:val="center" w:pos="4153"/>
        <w:tab w:val="right" w:pos="8306"/>
      </w:tabs>
      <w:snapToGrid w:val="0"/>
    </w:pPr>
    <w:rPr>
      <w:sz w:val="18"/>
      <w:szCs w:val="18"/>
    </w:rPr>
  </w:style>
  <w:style w:type="character" w:customStyle="1" w:styleId="HeaderChar">
    <w:name w:val="Header Char"/>
    <w:basedOn w:val="DefaultParagraphFont"/>
    <w:link w:val="Header"/>
    <w:uiPriority w:val="99"/>
    <w:semiHidden/>
    <w:locked/>
    <w:rPr>
      <w:rFonts w:ascii="Calibri" w:hAnsi="Calibri" w:cs="Calibri"/>
      <w:sz w:val="18"/>
      <w:szCs w:val="18"/>
    </w:rPr>
  </w:style>
  <w:style w:type="paragraph" w:styleId="NormalWeb">
    <w:name w:val="Normal (Web)"/>
    <w:basedOn w:val="Normal"/>
    <w:uiPriority w:val="99"/>
    <w:rsid w:val="00CE534D"/>
    <w:pPr>
      <w:jc w:val="left"/>
    </w:pPr>
    <w:rPr>
      <w:kern w:val="0"/>
      <w:sz w:val="24"/>
      <w:szCs w:val="24"/>
    </w:rPr>
  </w:style>
  <w:style w:type="paragraph" w:styleId="BalloonText">
    <w:name w:val="Balloon Text"/>
    <w:basedOn w:val="Normal"/>
    <w:link w:val="BalloonTextChar"/>
    <w:uiPriority w:val="99"/>
    <w:semiHidden/>
    <w:rsid w:val="00837569"/>
    <w:rPr>
      <w:sz w:val="18"/>
      <w:szCs w:val="18"/>
    </w:rPr>
  </w:style>
  <w:style w:type="character" w:customStyle="1" w:styleId="BalloonTextChar">
    <w:name w:val="Balloon Text Char"/>
    <w:basedOn w:val="DefaultParagraphFont"/>
    <w:link w:val="BalloonText"/>
    <w:uiPriority w:val="99"/>
    <w:semiHidden/>
    <w:rsid w:val="00DA04DE"/>
    <w:rPr>
      <w:rFonts w:ascii="Calibri" w:hAnsi="Calibri" w:cs="Calibri"/>
      <w:sz w:val="0"/>
      <w:sz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40</TotalTime>
  <Pages>5</Pages>
  <Words>309</Words>
  <Characters>1766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乡间小草</dc:creator>
  <cp:keywords/>
  <dc:description/>
  <cp:lastModifiedBy>林跃彬</cp:lastModifiedBy>
  <cp:revision>4</cp:revision>
  <cp:lastPrinted>2018-09-05T07:34:00Z</cp:lastPrinted>
  <dcterms:created xsi:type="dcterms:W3CDTF">2018-09-03T07:12:00Z</dcterms:created>
  <dcterms:modified xsi:type="dcterms:W3CDTF">2018-09-05T07:40:00Z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