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微软简标宋" w:hAnsi="Calibri" w:eastAsia="微软简标宋" w:cs="Times New Roman"/>
          <w:sz w:val="36"/>
          <w:szCs w:val="36"/>
          <w:lang w:val="en-US" w:eastAsia="zh-CN"/>
        </w:rPr>
      </w:pPr>
      <w:r>
        <w:rPr>
          <w:rFonts w:hint="eastAsia" w:ascii="微软简标宋" w:hAnsi="Calibri" w:eastAsia="微软简标宋" w:cs="Times New Roman"/>
          <w:sz w:val="36"/>
          <w:szCs w:val="36"/>
          <w:lang w:val="en-US" w:eastAsia="zh-CN"/>
        </w:rPr>
        <w:t>潮州市拟申报2019年中央预算内水利            投资计划市级项目的公示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按照《广东省发展改革委、广东省水利厅关于编报2019年中央预算内水利投资建议计划的通知》粤发改农经【2018】303号文件精神，现将我市拟申报2019年中央预算内水利投资计划市级项目予以公示。公示期自7月3日至7月9日，共7天。如对公示内容持有异议，请在公示期内向市水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务局、市发改局反映。以单位名义反映情况的，请提供真实单位名称（加盖公章）、联系人、联系方式和反映事项证明材料等；以个人名义反映情况的，请提供真实姓名、联系方式和反映事项证明材料等。逾期或匿名提出的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32"/>
        <w:gridCol w:w="415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9" w:hRule="atLeast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总投资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5" w:hRule="atLeast"/>
        </w:trPr>
        <w:tc>
          <w:tcPr>
            <w:tcW w:w="2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韩江粤东灌区续建配套与节水改造工程（北关灌区潮州片区）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计划对总干渠、枫溪干渠、浮洋干渠、一支渠、五支渠进行整治，改造渠道总长度27.965km。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vertAlign w:val="baseline"/>
                <w:lang w:val="en-US" w:eastAsia="zh-CN"/>
              </w:rPr>
              <w:t>8783万元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市水务局电话：2353344      市发改局电话：2288459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潮州市水务局                 潮州市发展改革局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53C4"/>
    <w:rsid w:val="37BA53C4"/>
    <w:rsid w:val="3E370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2018-07-02T09:32:00Z</dcterms:created>
  <dc:creator>慕紫1392622634</dc:creator>
  <cp:lastModifiedBy>慕紫1392622634</cp:lastModifiedBy>
  <cp:lastPrinted>2018-07-03T02:26:54Z</cp:lastPrinted>
  <dcterms:modified xsi:type="dcterms:W3CDTF">2018-07-03T03:13:02Z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