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eastAsia="zh-CN"/>
        </w:rPr>
        <w:t>附件</w:t>
      </w:r>
      <w:r>
        <w:rPr>
          <w:rFonts w:hint="eastAsia" w:ascii="楷体" w:hAnsi="楷体" w:eastAsia="楷体" w:cs="楷体"/>
          <w:color w:val="auto"/>
          <w:sz w:val="32"/>
          <w:szCs w:val="32"/>
          <w:lang w:val="en-US" w:eastAsia="zh-CN"/>
        </w:rPr>
        <w:t>1</w:t>
      </w:r>
    </w:p>
    <w:p>
      <w:pPr>
        <w:jc w:val="left"/>
        <w:rPr>
          <w:rFonts w:hint="default" w:ascii="黑体" w:hAnsi="黑体" w:eastAsia="黑体" w:cs="黑体"/>
          <w:color w:val="auto"/>
          <w:sz w:val="30"/>
          <w:szCs w:val="30"/>
          <w:lang w:val="en-US" w:eastAsia="zh-CN"/>
        </w:rPr>
      </w:pPr>
    </w:p>
    <w:p>
      <w:pP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潮州市20</w:t>
      </w:r>
      <w:r>
        <w:rPr>
          <w:rFonts w:hint="eastAsia" w:ascii="方正小标宋简体" w:hAnsi="方正小标宋简体" w:eastAsia="方正小标宋简体" w:cs="方正小标宋简体"/>
          <w:color w:val="auto"/>
          <w:sz w:val="44"/>
          <w:szCs w:val="44"/>
          <w:lang w:val="en-US" w:eastAsia="zh-CN"/>
        </w:rPr>
        <w:t>23</w:t>
      </w:r>
      <w:r>
        <w:rPr>
          <w:rFonts w:hint="eastAsia" w:ascii="方正小标宋简体" w:hAnsi="方正小标宋简体" w:eastAsia="方正小标宋简体" w:cs="方正小标宋简体"/>
          <w:color w:val="auto"/>
          <w:sz w:val="44"/>
          <w:szCs w:val="44"/>
          <w:lang w:eastAsia="zh-CN"/>
        </w:rPr>
        <w:t>年度社科规划课题申报指南</w:t>
      </w:r>
    </w:p>
    <w:p>
      <w:pPr>
        <w:jc w:val="center"/>
        <w:rPr>
          <w:rFonts w:hint="eastAsia" w:ascii="黑体" w:hAnsi="黑体" w:eastAsia="黑体" w:cs="黑体"/>
          <w:color w:val="auto"/>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鼓励攻关的重点条目</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b w:val="0"/>
          <w:bCs w:val="0"/>
          <w:color w:val="auto"/>
          <w:spacing w:val="-20"/>
          <w:kern w:val="0"/>
          <w:sz w:val="32"/>
          <w:szCs w:val="32"/>
          <w:shd w:val="clear" w:color="auto" w:fill="auto"/>
          <w:lang w:val="en-US" w:eastAsia="zh-CN"/>
        </w:rPr>
      </w:pPr>
      <w:r>
        <w:rPr>
          <w:rFonts w:hint="eastAsia" w:ascii="仿宋_GB2312" w:hAnsi="Arial" w:eastAsia="仿宋_GB2312"/>
          <w:b w:val="0"/>
          <w:bCs w:val="0"/>
          <w:color w:val="auto"/>
          <w:kern w:val="0"/>
          <w:sz w:val="32"/>
          <w:szCs w:val="32"/>
          <w:shd w:val="clear" w:color="auto" w:fill="auto"/>
          <w:lang w:val="en-US" w:eastAsia="zh-CN"/>
        </w:rPr>
        <w:t>党的创新理论与潮州实践研究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596" w:firstLineChars="200"/>
        <w:jc w:val="left"/>
        <w:textAlignment w:val="auto"/>
        <w:rPr>
          <w:rFonts w:hint="eastAsia" w:ascii="仿宋_GB2312" w:hAnsi="Arial" w:eastAsia="仿宋_GB2312"/>
          <w:b w:val="0"/>
          <w:bCs w:val="0"/>
          <w:color w:val="auto"/>
          <w:spacing w:val="-11"/>
          <w:kern w:val="0"/>
          <w:sz w:val="32"/>
          <w:szCs w:val="32"/>
          <w:shd w:val="clear" w:color="auto" w:fill="auto"/>
          <w:lang w:val="en-US" w:eastAsia="zh-CN"/>
        </w:rPr>
      </w:pPr>
      <w:r>
        <w:rPr>
          <w:rFonts w:hint="eastAsia" w:ascii="仿宋_GB2312" w:hAnsi="Arial" w:eastAsia="仿宋_GB2312"/>
          <w:b w:val="0"/>
          <w:bCs w:val="0"/>
          <w:color w:val="auto"/>
          <w:spacing w:val="-11"/>
          <w:kern w:val="0"/>
          <w:sz w:val="32"/>
          <w:szCs w:val="32"/>
          <w:shd w:val="clear" w:color="auto" w:fill="auto"/>
          <w:lang w:val="en-US" w:eastAsia="zh-CN"/>
        </w:rPr>
        <w:t>习近平新时代中国特色社会主义思想的潮州实践研究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b w:val="0"/>
          <w:bCs w:val="0"/>
          <w:color w:val="auto"/>
          <w:kern w:val="0"/>
          <w:sz w:val="32"/>
          <w:szCs w:val="32"/>
          <w:shd w:val="clear" w:color="auto" w:fill="auto"/>
          <w:lang w:val="en-US" w:eastAsia="zh-CN"/>
        </w:rPr>
      </w:pPr>
      <w:r>
        <w:rPr>
          <w:rFonts w:hint="eastAsia" w:ascii="仿宋_GB2312" w:hAnsi="Arial" w:eastAsia="仿宋_GB2312"/>
          <w:b w:val="0"/>
          <w:bCs w:val="0"/>
          <w:color w:val="auto"/>
          <w:kern w:val="0"/>
          <w:sz w:val="32"/>
          <w:szCs w:val="32"/>
          <w:shd w:val="clear" w:color="auto" w:fill="auto"/>
          <w:lang w:val="en-US" w:eastAsia="zh-CN"/>
        </w:rPr>
        <w:t>中华民族伟大复兴视域下的潮州文化研究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b w:val="0"/>
          <w:bCs w:val="0"/>
          <w:color w:val="auto"/>
          <w:kern w:val="0"/>
          <w:sz w:val="32"/>
          <w:szCs w:val="32"/>
          <w:shd w:val="clear" w:color="auto" w:fill="auto"/>
          <w:lang w:val="en-US" w:eastAsia="zh-CN"/>
        </w:rPr>
      </w:pPr>
      <w:r>
        <w:rPr>
          <w:rFonts w:hint="eastAsia" w:ascii="仿宋_GB2312" w:hAnsi="Arial" w:eastAsia="仿宋_GB2312"/>
          <w:b w:val="0"/>
          <w:bCs w:val="0"/>
          <w:color w:val="auto"/>
          <w:kern w:val="0"/>
          <w:sz w:val="32"/>
          <w:szCs w:val="32"/>
          <w:shd w:val="clear" w:color="auto" w:fill="auto"/>
          <w:lang w:val="en-US" w:eastAsia="zh-CN"/>
        </w:rPr>
        <w:t>潮州乡村基层治理的历史特色与当代探索研究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b w:val="0"/>
          <w:bCs w:val="0"/>
          <w:color w:val="auto"/>
          <w:kern w:val="0"/>
          <w:sz w:val="32"/>
          <w:szCs w:val="32"/>
          <w:shd w:val="clear" w:color="auto" w:fill="auto"/>
          <w:lang w:val="en-US" w:eastAsia="zh-CN"/>
        </w:rPr>
      </w:pPr>
      <w:r>
        <w:rPr>
          <w:rFonts w:hint="eastAsia" w:ascii="仿宋_GB2312" w:hAnsi="Arial" w:eastAsia="仿宋_GB2312"/>
          <w:b w:val="0"/>
          <w:bCs w:val="0"/>
          <w:color w:val="auto"/>
          <w:kern w:val="0"/>
          <w:sz w:val="32"/>
          <w:szCs w:val="32"/>
          <w:shd w:val="clear" w:color="auto" w:fill="auto"/>
          <w:lang w:val="en-US" w:eastAsia="zh-CN"/>
        </w:rPr>
        <w:t>基于潮州文化视域下的马克思主义基本原理同中华优秀传统文化相结合的研究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b w:val="0"/>
          <w:bCs w:val="0"/>
          <w:color w:val="auto"/>
          <w:kern w:val="0"/>
          <w:sz w:val="32"/>
          <w:szCs w:val="32"/>
          <w:shd w:val="clear" w:color="auto" w:fill="auto"/>
          <w:lang w:val="en-US" w:eastAsia="zh-CN"/>
        </w:rPr>
      </w:pPr>
      <w:r>
        <w:rPr>
          <w:rFonts w:hint="eastAsia" w:ascii="仿宋_GB2312" w:hAnsi="Arial" w:eastAsia="仿宋_GB2312"/>
          <w:b w:val="0"/>
          <w:bCs w:val="0"/>
          <w:color w:val="auto"/>
          <w:kern w:val="0"/>
          <w:sz w:val="32"/>
          <w:szCs w:val="32"/>
          <w:shd w:val="clear" w:color="auto" w:fill="auto"/>
          <w:lang w:val="en-US" w:eastAsia="zh-CN"/>
        </w:rPr>
        <w:t>习近平生态文明思想的潮州实践研究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b w:val="0"/>
          <w:bCs w:val="0"/>
          <w:color w:val="auto"/>
          <w:kern w:val="0"/>
          <w:sz w:val="32"/>
          <w:szCs w:val="32"/>
          <w:shd w:val="clear" w:color="auto" w:fill="auto"/>
          <w:lang w:val="en-US" w:eastAsia="zh-CN"/>
        </w:rPr>
      </w:pPr>
      <w:r>
        <w:rPr>
          <w:rFonts w:hint="eastAsia" w:ascii="仿宋_GB2312" w:hAnsi="Arial" w:eastAsia="仿宋_GB2312"/>
          <w:b w:val="0"/>
          <w:bCs w:val="0"/>
          <w:color w:val="auto"/>
          <w:kern w:val="0"/>
          <w:sz w:val="32"/>
          <w:szCs w:val="32"/>
          <w:shd w:val="clear" w:color="auto" w:fill="auto"/>
          <w:lang w:val="en-US" w:eastAsia="zh-CN"/>
        </w:rPr>
        <w:t>潮州文化特质及当代价值研究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b w:val="0"/>
          <w:bCs w:val="0"/>
          <w:color w:val="auto"/>
          <w:kern w:val="0"/>
          <w:sz w:val="32"/>
          <w:szCs w:val="32"/>
          <w:shd w:val="clear" w:color="auto" w:fill="auto"/>
          <w:lang w:val="en-US" w:eastAsia="zh-CN"/>
        </w:rPr>
      </w:pPr>
      <w:r>
        <w:rPr>
          <w:rFonts w:hint="eastAsia" w:ascii="仿宋_GB2312" w:hAnsi="Arial" w:eastAsia="仿宋_GB2312"/>
          <w:b w:val="0"/>
          <w:bCs w:val="0"/>
          <w:color w:val="auto"/>
          <w:kern w:val="0"/>
          <w:sz w:val="32"/>
          <w:szCs w:val="32"/>
          <w:shd w:val="clear" w:color="auto" w:fill="auto"/>
          <w:lang w:val="en-US" w:eastAsia="zh-CN"/>
        </w:rPr>
        <w:t>潮州古城区交通“疏堵保畅”研究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b w:val="0"/>
          <w:bCs w:val="0"/>
          <w:color w:val="auto"/>
          <w:kern w:val="0"/>
          <w:sz w:val="32"/>
          <w:szCs w:val="32"/>
          <w:shd w:val="clear" w:color="auto" w:fill="auto"/>
          <w:lang w:val="en-US" w:eastAsia="zh-CN"/>
        </w:rPr>
      </w:pPr>
      <w:r>
        <w:rPr>
          <w:rFonts w:hint="eastAsia" w:ascii="仿宋_GB2312" w:hAnsi="Arial" w:eastAsia="仿宋_GB2312"/>
          <w:b w:val="0"/>
          <w:bCs w:val="0"/>
          <w:color w:val="auto"/>
          <w:kern w:val="0"/>
          <w:sz w:val="32"/>
          <w:szCs w:val="32"/>
          <w:shd w:val="clear" w:color="auto" w:fill="auto"/>
          <w:lang w:val="en-US" w:eastAsia="zh-CN"/>
        </w:rPr>
        <w:t>推动潮州文化、旅游业和制造业高质量发展的研究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b w:val="0"/>
          <w:bCs w:val="0"/>
          <w:color w:val="auto"/>
          <w:kern w:val="0"/>
          <w:sz w:val="32"/>
          <w:szCs w:val="32"/>
          <w:shd w:val="clear" w:color="auto" w:fill="auto"/>
          <w:lang w:val="en-US" w:eastAsia="zh-CN"/>
        </w:rPr>
      </w:pPr>
      <w:r>
        <w:rPr>
          <w:rFonts w:hint="eastAsia" w:ascii="仿宋_GB2312" w:hAnsi="Arial" w:eastAsia="仿宋_GB2312"/>
          <w:b w:val="0"/>
          <w:bCs w:val="0"/>
          <w:color w:val="auto"/>
          <w:kern w:val="0"/>
          <w:sz w:val="32"/>
          <w:szCs w:val="32"/>
          <w:shd w:val="clear" w:color="auto" w:fill="auto"/>
          <w:lang w:val="en-US" w:eastAsia="zh-CN"/>
        </w:rPr>
        <w:t>县域经济发展研究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b w:val="0"/>
          <w:bCs w:val="0"/>
          <w:color w:val="auto"/>
          <w:kern w:val="0"/>
          <w:sz w:val="32"/>
          <w:szCs w:val="32"/>
          <w:shd w:val="clear" w:color="auto" w:fill="auto"/>
          <w:lang w:val="en-US" w:eastAsia="zh-CN"/>
        </w:rPr>
      </w:pPr>
      <w:r>
        <w:rPr>
          <w:rFonts w:hint="eastAsia" w:ascii="仿宋_GB2312" w:hAnsi="Arial" w:eastAsia="仿宋_GB2312"/>
          <w:b w:val="0"/>
          <w:bCs w:val="0"/>
          <w:color w:val="auto"/>
          <w:kern w:val="0"/>
          <w:sz w:val="32"/>
          <w:szCs w:val="32"/>
          <w:shd w:val="clear" w:color="auto" w:fill="auto"/>
          <w:lang w:val="en-US" w:eastAsia="zh-CN"/>
        </w:rPr>
        <w:t>美丽圩镇建设研究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b w:val="0"/>
          <w:bCs w:val="0"/>
          <w:color w:val="auto"/>
          <w:kern w:val="0"/>
          <w:sz w:val="32"/>
          <w:szCs w:val="32"/>
          <w:shd w:val="clear" w:color="auto" w:fill="auto"/>
          <w:lang w:val="en-US" w:eastAsia="zh-CN"/>
        </w:rPr>
      </w:pPr>
      <w:r>
        <w:rPr>
          <w:rFonts w:hint="eastAsia" w:ascii="仿宋_GB2312" w:hAnsi="Arial" w:eastAsia="仿宋_GB2312"/>
          <w:b w:val="0"/>
          <w:bCs w:val="0"/>
          <w:color w:val="auto"/>
          <w:kern w:val="0"/>
          <w:sz w:val="32"/>
          <w:szCs w:val="32"/>
          <w:shd w:val="clear" w:color="auto" w:fill="auto"/>
          <w:lang w:val="en-US" w:eastAsia="zh-CN"/>
        </w:rPr>
        <w:t>关于科学发展现代化饶平海洋牧场的研究探析</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b w:val="0"/>
          <w:bCs w:val="0"/>
          <w:color w:val="auto"/>
          <w:kern w:val="0"/>
          <w:sz w:val="32"/>
          <w:szCs w:val="32"/>
          <w:shd w:val="clear" w:color="auto" w:fill="auto"/>
          <w:lang w:val="en-US" w:eastAsia="zh-CN"/>
        </w:rPr>
      </w:pPr>
      <w:r>
        <w:rPr>
          <w:rFonts w:hint="eastAsia" w:ascii="仿宋_GB2312" w:hAnsi="Arial" w:eastAsia="仿宋_GB2312"/>
          <w:b w:val="0"/>
          <w:bCs w:val="0"/>
          <w:color w:val="auto"/>
          <w:kern w:val="0"/>
          <w:sz w:val="32"/>
          <w:szCs w:val="32"/>
          <w:shd w:val="clear" w:color="auto" w:fill="auto"/>
          <w:lang w:val="en-US" w:eastAsia="zh-CN"/>
        </w:rPr>
        <w:t>做大做强临港经济助推饶平海洋经济高质量发展</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b w:val="0"/>
          <w:bCs w:val="0"/>
          <w:color w:val="auto"/>
          <w:kern w:val="0"/>
          <w:sz w:val="32"/>
          <w:szCs w:val="32"/>
          <w:shd w:val="clear" w:color="auto" w:fill="auto"/>
          <w:lang w:val="en-US" w:eastAsia="zh-CN"/>
        </w:rPr>
      </w:pPr>
      <w:r>
        <w:rPr>
          <w:rFonts w:hint="eastAsia" w:ascii="仿宋_GB2312" w:hAnsi="Arial" w:eastAsia="仿宋_GB2312"/>
          <w:b w:val="0"/>
          <w:bCs w:val="0"/>
          <w:color w:val="auto"/>
          <w:kern w:val="0"/>
          <w:sz w:val="32"/>
          <w:szCs w:val="32"/>
          <w:shd w:val="clear" w:color="auto" w:fill="auto"/>
          <w:lang w:val="en-US" w:eastAsia="zh-CN"/>
        </w:rPr>
        <w:t>饶平县推进打造特色产业园区的困境与路径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二、研究条目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（一）习近平新时代中国特色社会主义思想研究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习近平总书记关于党的历史的重要论述的核心要义与理论创新研究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中国共产党百年奋斗历史经验的内在逻辑和当代价值研究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“两个确立”的历史必然性研究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加强“四史”（党史、新中国史、改革开放史、社会主义发展史）教育研究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加强意识形态的思想引领和社会认同研究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(二)基础性研究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潮州文化源流研究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潮州文化是中华文化的重要支脉研究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潮州畲族文化研究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建设世界潮人精神家园研究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潮州古城变迁史研究</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应用对策研究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以“三大战役”为突破口，纵深推进改革攻坚的潮州实践研究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构建以实体经济为主导的现代化产业体系的潮州实践研究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承接产业有序转移促进区域协调发展的研究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default" w:ascii="仿宋_GB2312" w:hAnsi="Arial" w:eastAsia="仿宋_GB2312"/>
          <w:color w:val="auto"/>
          <w:kern w:val="0"/>
          <w:sz w:val="32"/>
          <w:szCs w:val="32"/>
          <w:shd w:val="clear" w:color="auto" w:fill="auto"/>
          <w:lang w:val="en-US" w:eastAsia="zh-CN"/>
        </w:rPr>
        <w:t>夯实教育科技人才支撑</w:t>
      </w:r>
      <w:r>
        <w:rPr>
          <w:rFonts w:hint="eastAsia" w:ascii="仿宋_GB2312" w:hAnsi="Arial" w:eastAsia="仿宋_GB2312"/>
          <w:color w:val="auto"/>
          <w:kern w:val="0"/>
          <w:sz w:val="32"/>
          <w:szCs w:val="32"/>
          <w:shd w:val="clear" w:color="auto" w:fill="auto"/>
          <w:lang w:val="en-US" w:eastAsia="zh-CN"/>
        </w:rPr>
        <w:t>的潮州实践研究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促进城乡区域高质量发展的潮州实践研究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default" w:ascii="仿宋_GB2312" w:hAnsi="Arial" w:eastAsia="仿宋_GB2312"/>
          <w:color w:val="auto"/>
          <w:kern w:val="0"/>
          <w:sz w:val="32"/>
          <w:szCs w:val="32"/>
          <w:shd w:val="clear" w:color="auto" w:fill="auto"/>
          <w:lang w:val="en-US" w:eastAsia="zh-CN"/>
        </w:rPr>
        <w:t>全面提升文化兴盛水平，促进“两个文明”同步提升</w:t>
      </w:r>
      <w:r>
        <w:rPr>
          <w:rFonts w:hint="eastAsia" w:ascii="仿宋_GB2312" w:hAnsi="Arial" w:eastAsia="仿宋_GB2312"/>
          <w:color w:val="auto"/>
          <w:kern w:val="0"/>
          <w:sz w:val="32"/>
          <w:szCs w:val="32"/>
          <w:shd w:val="clear" w:color="auto" w:fill="auto"/>
          <w:lang w:val="en-US" w:eastAsia="zh-CN"/>
        </w:rPr>
        <w:t>的潮州实践研究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站在人与自然和谐共生的高度，扎实推进绿美潮州生态建设研究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default"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强化党建引领、坚持全面从严治党的潮州实践研究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守好守牢安全发展底线，注重统筹发展和安全的潮州实践研究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坚持以人民为中心的发展思想，全面提升民生保障水平的潮州实践研究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推动潮州文化创造性转化、创新性发展研究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“一轴两带”文化产业融合发展研究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创新文化产业人才政策研究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推动文化传承保护和融合创新发展研究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打好“干部思想作风转变”战役研究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打好“历史遗留问题解决”战役研究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打好“资源配置优化”战役研究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构建“金色韩江发展轴”区域发展格局研究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构建“蓝色海洋经济带”区域发展格局研究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构建“绿色生态发展带”区域发展格局研究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default" w:ascii="仿宋_GB2312" w:hAnsi="Arial" w:eastAsia="仿宋_GB2312"/>
          <w:color w:val="auto"/>
          <w:kern w:val="0"/>
          <w:sz w:val="32"/>
          <w:szCs w:val="32"/>
          <w:shd w:val="clear" w:color="auto" w:fill="auto"/>
          <w:lang w:val="en-US" w:eastAsia="zh-CN"/>
        </w:rPr>
        <w:t>推动传统产业与新兴产业比翼齐飞</w:t>
      </w:r>
      <w:r>
        <w:rPr>
          <w:rFonts w:hint="eastAsia" w:ascii="仿宋_GB2312" w:hAnsi="Arial" w:eastAsia="仿宋_GB2312"/>
          <w:color w:val="auto"/>
          <w:kern w:val="0"/>
          <w:sz w:val="32"/>
          <w:szCs w:val="32"/>
          <w:shd w:val="clear" w:color="auto" w:fill="auto"/>
          <w:lang w:val="en-US" w:eastAsia="zh-CN"/>
        </w:rPr>
        <w:t>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default" w:ascii="仿宋_GB2312" w:hAnsi="Arial" w:eastAsia="仿宋_GB2312"/>
          <w:color w:val="auto"/>
          <w:kern w:val="0"/>
          <w:sz w:val="32"/>
          <w:szCs w:val="32"/>
          <w:shd w:val="clear" w:color="auto" w:fill="auto"/>
          <w:lang w:val="en-US" w:eastAsia="zh-CN"/>
        </w:rPr>
        <w:t>要推动产业平台与招商引资双向发力</w:t>
      </w:r>
      <w:r>
        <w:rPr>
          <w:rFonts w:hint="eastAsia" w:ascii="仿宋_GB2312" w:hAnsi="Arial" w:eastAsia="仿宋_GB2312"/>
          <w:color w:val="auto"/>
          <w:kern w:val="0"/>
          <w:sz w:val="32"/>
          <w:szCs w:val="32"/>
          <w:shd w:val="clear" w:color="auto" w:fill="auto"/>
          <w:lang w:val="en-US" w:eastAsia="zh-CN"/>
        </w:rPr>
        <w:t>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default" w:ascii="仿宋_GB2312" w:hAnsi="Arial" w:eastAsia="仿宋_GB2312"/>
          <w:color w:val="auto"/>
          <w:kern w:val="0"/>
          <w:sz w:val="32"/>
          <w:szCs w:val="32"/>
          <w:shd w:val="clear" w:color="auto" w:fill="auto"/>
          <w:lang w:val="en-US" w:eastAsia="zh-CN"/>
        </w:rPr>
        <w:t>推动营商环境与企业培育相互促进</w:t>
      </w:r>
      <w:r>
        <w:rPr>
          <w:rFonts w:hint="eastAsia" w:ascii="仿宋_GB2312" w:hAnsi="Arial" w:eastAsia="仿宋_GB2312"/>
          <w:color w:val="auto"/>
          <w:kern w:val="0"/>
          <w:sz w:val="32"/>
          <w:szCs w:val="32"/>
          <w:shd w:val="clear" w:color="auto" w:fill="auto"/>
          <w:lang w:val="en-US" w:eastAsia="zh-CN"/>
        </w:rPr>
        <w:t>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坚持教育优先发展的研究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坚持科技驱动发展的研究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坚持人才引领发展的研究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落实强县促镇带村的研究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促进城乡融合发展的研究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default" w:ascii="仿宋_GB2312" w:hAnsi="Arial" w:eastAsia="仿宋_GB2312"/>
          <w:color w:val="auto"/>
          <w:kern w:val="0"/>
          <w:sz w:val="32"/>
          <w:szCs w:val="32"/>
          <w:shd w:val="clear" w:color="auto" w:fill="auto"/>
          <w:lang w:val="en-US" w:eastAsia="zh-CN"/>
        </w:rPr>
        <w:t>提升城乡建设品质</w:t>
      </w:r>
      <w:r>
        <w:rPr>
          <w:rFonts w:hint="eastAsia" w:ascii="仿宋_GB2312" w:hAnsi="Arial" w:eastAsia="仿宋_GB2312"/>
          <w:color w:val="auto"/>
          <w:kern w:val="0"/>
          <w:sz w:val="32"/>
          <w:szCs w:val="32"/>
          <w:shd w:val="clear" w:color="auto" w:fill="auto"/>
          <w:lang w:val="en-US" w:eastAsia="zh-CN"/>
        </w:rPr>
        <w:t>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生态环境综合治理的研究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加快发展方式绿色转型的研究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实施就业优先战略的研究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健全社会保障体系的研究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推进健康潮州建设的研究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建设平安潮州的研究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打造法治潮州的研究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有效防范化解重大风险的研究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default" w:ascii="仿宋_GB2312" w:hAnsi="Arial" w:eastAsia="仿宋_GB2312"/>
          <w:color w:val="auto"/>
          <w:kern w:val="0"/>
          <w:sz w:val="32"/>
          <w:szCs w:val="32"/>
          <w:shd w:val="clear" w:color="auto" w:fill="auto"/>
          <w:lang w:val="en-US" w:eastAsia="zh-CN"/>
        </w:rPr>
        <w:t>增强党组织政治功能和组织功能</w:t>
      </w:r>
      <w:r>
        <w:rPr>
          <w:rFonts w:hint="eastAsia" w:ascii="仿宋_GB2312" w:hAnsi="Arial" w:eastAsia="仿宋_GB2312"/>
          <w:color w:val="auto"/>
          <w:kern w:val="0"/>
          <w:sz w:val="32"/>
          <w:szCs w:val="32"/>
          <w:shd w:val="clear" w:color="auto" w:fill="auto"/>
          <w:lang w:val="en-US" w:eastAsia="zh-CN"/>
        </w:rPr>
        <w:t>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促进强富绿美新县城建设的研究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坚持“一镇一策”打造定位明确、差异化协同发展的饶平镇域发展体系的思路和对策</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饶平县盐焗鸡食品工业产业高质量发展的研究探析</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预制菜产业的发展路径与对策</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关于推动茶叶产业高质量发展助推饶平乡村振兴的调查研究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推动我市食品工业加快发展的研究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推进我市陶瓷产业高质量发展的研究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促进我市特色产业园建设的研究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提升潮州非遗和工艺美术产业化水平的研究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增强新闻信息服务业核心竞争力的研究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构筑以古城旅游为龙头的多元文旅体系研究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承接产业有序转移促进区域协调发展的研究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推动县区高质量发展的研究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突出镇街联城带村的纽带作用的研究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建设“潮味”和美乡村的研究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统筹推进城乡一体化发展的研究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高质量规划韩江新城、全方位提升城市品质研究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乡村振兴中的产业融合发展研究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spacing w:val="-20"/>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基于</w:t>
      </w:r>
      <w:r>
        <w:rPr>
          <w:rFonts w:hint="eastAsia" w:ascii="仿宋_GB2312" w:hAnsi="Arial" w:eastAsia="仿宋_GB2312"/>
          <w:color w:val="auto"/>
          <w:spacing w:val="-20"/>
          <w:kern w:val="0"/>
          <w:sz w:val="32"/>
          <w:szCs w:val="32"/>
          <w:shd w:val="clear" w:color="auto" w:fill="auto"/>
          <w:lang w:val="en-US" w:eastAsia="zh-CN"/>
        </w:rPr>
        <w:t>乡村振兴视角下的农村集体土地管理和利用研究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把握“湾+带”联动机遇、深度参与“一核一带一区”建设研究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潮州融入参与“双区”建设研究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潮州建设市域社会治理现代化试点城市研究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加快发展低碳产业、打造绿色低碳发展先行区研究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推进国家跨境电子商务综合试验区建设研究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以党建工作为引领、构建城乡基层党建新格局研究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潮州市非公有制企业党的建设研究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充分发挥潮州红色文化作用，推动乡村振兴发展</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茂芝会议红色文化资源价值挖掘利用研究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default"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潮州市创建国家文物保护利用示范区的对策研究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default"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潮州市创建国家级文化生态保护实验区对策研究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潮州古城历史建筑和传统风貌建筑保护与利用研究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潮州城市形象宣传研究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潮州文化的国际推广策略与实践研究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潮州市文化旅游资源评价研究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推进潮州文化数字化发展的研究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高质量发展重点领域人大立法工作研究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Arial" w:eastAsia="仿宋_GB2312"/>
          <w:color w:val="auto"/>
          <w:kern w:val="0"/>
          <w:sz w:val="32"/>
          <w:szCs w:val="32"/>
          <w:shd w:val="clear" w:color="auto" w:fill="auto"/>
          <w:lang w:val="en-US" w:eastAsia="zh-CN"/>
        </w:rPr>
      </w:pPr>
      <w:r>
        <w:rPr>
          <w:rFonts w:hint="eastAsia" w:ascii="仿宋_GB2312" w:hAnsi="Arial" w:eastAsia="仿宋_GB2312"/>
          <w:color w:val="auto"/>
          <w:kern w:val="0"/>
          <w:sz w:val="32"/>
          <w:szCs w:val="32"/>
          <w:shd w:val="clear" w:color="auto" w:fill="auto"/>
          <w:lang w:val="en-US" w:eastAsia="zh-CN"/>
        </w:rPr>
        <w:t>推进青年发展型城市（县域）建设研究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(四)潮州书院文化专项共建课题条目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sz w:val="32"/>
          <w:szCs w:val="32"/>
          <w:shd w:val="clear" w:color="auto" w:fill="auto"/>
          <w:lang w:eastAsia="zh-CN"/>
        </w:rPr>
        <w:t>按照《潮州书院文化专项共建课题的合作协议》，该专项仅由韩山书院组织申报。</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韩山书院山长丁杰诗文集整理</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韩山书院山长吴道镕诗文集整</w:t>
      </w:r>
      <w:bookmarkStart w:id="0" w:name="_GoBack"/>
      <w:bookmarkEnd w:id="0"/>
      <w:r>
        <w:rPr>
          <w:rFonts w:hint="eastAsia" w:ascii="仿宋" w:hAnsi="仿宋" w:eastAsia="仿宋" w:cs="仿宋"/>
          <w:color w:val="auto"/>
          <w:sz w:val="32"/>
          <w:szCs w:val="32"/>
          <w:lang w:val="en-US" w:eastAsia="zh-CN"/>
        </w:rPr>
        <w:t>理</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韩山书院山长王利亨诗集整理</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460CE3"/>
    <w:multiLevelType w:val="singleLevel"/>
    <w:tmpl w:val="C0460CE3"/>
    <w:lvl w:ilvl="0" w:tentative="0">
      <w:start w:val="1"/>
      <w:numFmt w:val="decimal"/>
      <w:lvlText w:val="%1."/>
      <w:lvlJc w:val="left"/>
      <w:pPr>
        <w:ind w:left="425" w:hanging="425"/>
      </w:pPr>
      <w:rPr>
        <w:rFonts w:hint="default"/>
      </w:rPr>
    </w:lvl>
  </w:abstractNum>
  <w:abstractNum w:abstractNumId="1">
    <w:nsid w:val="46F1960C"/>
    <w:multiLevelType w:val="singleLevel"/>
    <w:tmpl w:val="46F1960C"/>
    <w:lvl w:ilvl="0" w:tentative="0">
      <w:start w:val="1"/>
      <w:numFmt w:val="chineseCounting"/>
      <w:suff w:val="nothing"/>
      <w:lvlText w:val="%1、"/>
      <w:lvlJc w:val="left"/>
      <w:rPr>
        <w:rFonts w:hint="eastAsia"/>
      </w:rPr>
    </w:lvl>
  </w:abstractNum>
  <w:abstractNum w:abstractNumId="2">
    <w:nsid w:val="541DE6F4"/>
    <w:multiLevelType w:val="singleLevel"/>
    <w:tmpl w:val="541DE6F4"/>
    <w:lvl w:ilvl="0" w:tentative="0">
      <w:start w:val="3"/>
      <w:numFmt w:val="chineseCounting"/>
      <w:lvlText w:val="(%1)"/>
      <w:lvlJc w:val="left"/>
      <w:pPr>
        <w:tabs>
          <w:tab w:val="left" w:pos="312"/>
        </w:tabs>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ZGZhMGZiZGYyNzhmMGQwYWEyNzRiYjI3MDljYjgifQ=="/>
    <w:docVar w:name="KSO_WPS_MARK_KEY" w:val="737590f7-0eec-4e6b-aa85-4c6d1cf1ece0"/>
  </w:docVars>
  <w:rsids>
    <w:rsidRoot w:val="00000000"/>
    <w:rsid w:val="01F64D0F"/>
    <w:rsid w:val="024840F6"/>
    <w:rsid w:val="02BC5930"/>
    <w:rsid w:val="02E9451B"/>
    <w:rsid w:val="04351B1E"/>
    <w:rsid w:val="06374C5C"/>
    <w:rsid w:val="070E6E94"/>
    <w:rsid w:val="07C12AE6"/>
    <w:rsid w:val="08940DC1"/>
    <w:rsid w:val="09AF67E5"/>
    <w:rsid w:val="0A947C08"/>
    <w:rsid w:val="0A987DC7"/>
    <w:rsid w:val="0C0F6E80"/>
    <w:rsid w:val="0C3E7442"/>
    <w:rsid w:val="0ECC3D59"/>
    <w:rsid w:val="0FE15065"/>
    <w:rsid w:val="10B27BF2"/>
    <w:rsid w:val="110E38E8"/>
    <w:rsid w:val="116E41D0"/>
    <w:rsid w:val="11CD1286"/>
    <w:rsid w:val="12FF1416"/>
    <w:rsid w:val="142965E9"/>
    <w:rsid w:val="145A0DDB"/>
    <w:rsid w:val="1591247F"/>
    <w:rsid w:val="15AD50C1"/>
    <w:rsid w:val="1600044E"/>
    <w:rsid w:val="16726711"/>
    <w:rsid w:val="16DE72F8"/>
    <w:rsid w:val="17C50637"/>
    <w:rsid w:val="17D90B1C"/>
    <w:rsid w:val="1A8509E3"/>
    <w:rsid w:val="1B406B4B"/>
    <w:rsid w:val="1C400F32"/>
    <w:rsid w:val="1C701BDA"/>
    <w:rsid w:val="1D227C2F"/>
    <w:rsid w:val="1DE10881"/>
    <w:rsid w:val="1E253DD3"/>
    <w:rsid w:val="220C1172"/>
    <w:rsid w:val="226323ED"/>
    <w:rsid w:val="24A172CF"/>
    <w:rsid w:val="25432C44"/>
    <w:rsid w:val="256A1671"/>
    <w:rsid w:val="26C11525"/>
    <w:rsid w:val="28F93D76"/>
    <w:rsid w:val="298D44D2"/>
    <w:rsid w:val="2F596ADA"/>
    <w:rsid w:val="2F5B427F"/>
    <w:rsid w:val="2F724203"/>
    <w:rsid w:val="320D1173"/>
    <w:rsid w:val="359853B2"/>
    <w:rsid w:val="35CE46AE"/>
    <w:rsid w:val="362E6768"/>
    <w:rsid w:val="36BB1089"/>
    <w:rsid w:val="378C4D7F"/>
    <w:rsid w:val="38803FB5"/>
    <w:rsid w:val="39131E74"/>
    <w:rsid w:val="3982065B"/>
    <w:rsid w:val="3A4A16EF"/>
    <w:rsid w:val="3B3E1CA2"/>
    <w:rsid w:val="41D777CE"/>
    <w:rsid w:val="426B10BC"/>
    <w:rsid w:val="456F6D2B"/>
    <w:rsid w:val="47B976BA"/>
    <w:rsid w:val="4BE3149C"/>
    <w:rsid w:val="4C981A36"/>
    <w:rsid w:val="4EB238FC"/>
    <w:rsid w:val="4F2149B3"/>
    <w:rsid w:val="4F8F285F"/>
    <w:rsid w:val="4FEA2898"/>
    <w:rsid w:val="505508C7"/>
    <w:rsid w:val="541648CE"/>
    <w:rsid w:val="564A2EA7"/>
    <w:rsid w:val="565F463A"/>
    <w:rsid w:val="57890AC4"/>
    <w:rsid w:val="5960008D"/>
    <w:rsid w:val="59C414B7"/>
    <w:rsid w:val="5ADD24CF"/>
    <w:rsid w:val="5BC4408B"/>
    <w:rsid w:val="5EDC1292"/>
    <w:rsid w:val="603B3912"/>
    <w:rsid w:val="616E5463"/>
    <w:rsid w:val="62314F24"/>
    <w:rsid w:val="629548CE"/>
    <w:rsid w:val="64167892"/>
    <w:rsid w:val="65A3654B"/>
    <w:rsid w:val="65DB65EC"/>
    <w:rsid w:val="66811B16"/>
    <w:rsid w:val="679F02B4"/>
    <w:rsid w:val="69315477"/>
    <w:rsid w:val="6A745C1A"/>
    <w:rsid w:val="6B786A34"/>
    <w:rsid w:val="6C0D4E66"/>
    <w:rsid w:val="6C166655"/>
    <w:rsid w:val="6C661592"/>
    <w:rsid w:val="6E075A92"/>
    <w:rsid w:val="6E69536A"/>
    <w:rsid w:val="6EDC453B"/>
    <w:rsid w:val="720C68D3"/>
    <w:rsid w:val="740559D8"/>
    <w:rsid w:val="747327A0"/>
    <w:rsid w:val="74B92FE6"/>
    <w:rsid w:val="760166AD"/>
    <w:rsid w:val="76164029"/>
    <w:rsid w:val="76525DAB"/>
    <w:rsid w:val="785401C3"/>
    <w:rsid w:val="788D2263"/>
    <w:rsid w:val="7C4D7662"/>
    <w:rsid w:val="7CA745C1"/>
    <w:rsid w:val="7CDD538D"/>
    <w:rsid w:val="7D0211AE"/>
    <w:rsid w:val="7DE14F1D"/>
    <w:rsid w:val="7F367134"/>
    <w:rsid w:val="7F571F94"/>
    <w:rsid w:val="7FF228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120" w:afterAutospacing="0"/>
      <w:ind w:left="0" w:right="0"/>
      <w:jc w:val="left"/>
    </w:pPr>
    <w:rPr>
      <w:color w:val="666666"/>
      <w:kern w:val="0"/>
      <w:sz w:val="24"/>
      <w:lang w:val="en-US" w:eastAsia="zh-CN" w:bidi="ar"/>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1904</Words>
  <Characters>1910</Characters>
  <Lines>0</Lines>
  <Paragraphs>0</Paragraphs>
  <TotalTime>36</TotalTime>
  <ScaleCrop>false</ScaleCrop>
  <LinksUpToDate>false</LinksUpToDate>
  <CharactersWithSpaces>1910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xuwei</dc:creator>
  <cp:lastModifiedBy>001</cp:lastModifiedBy>
  <cp:lastPrinted>2023-04-12T02:22:00Z</cp:lastPrinted>
  <dcterms:modified xsi:type="dcterms:W3CDTF">2023-04-13T02:19:38Z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BBCE2D7893F24828892B550F37561C7B</vt:lpwstr>
  </property>
</Properties>
</file>