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潮州市气候可行性论证项目指导目录</w:t>
      </w:r>
    </w:p>
    <w:p>
      <w:pPr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（征求意见稿）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napToGrid w:val="0"/>
        <w:spacing w:line="580" w:lineRule="exact"/>
        <w:ind w:firstLine="635"/>
        <w:rPr>
          <w:rFonts w:hint="eastAsia" w:ascii="仿宋_GB2312" w:eastAsia="仿宋_GB2312"/>
          <w:sz w:val="32"/>
          <w:szCs w:val="32"/>
          <w:shd w:val="clear" w:color="auto" w:fill="FEFEFE"/>
        </w:rPr>
      </w:pPr>
      <w:r>
        <w:rPr>
          <w:rFonts w:hint="eastAsia" w:ascii="仿宋_GB2312" w:eastAsia="仿宋_GB2312"/>
          <w:sz w:val="32"/>
          <w:szCs w:val="32"/>
          <w:shd w:val="clear" w:color="auto" w:fill="FEFEFE"/>
        </w:rPr>
        <w:t>为了规范重大规划、重点工程项目气候可行性论证活动，根据《</w:t>
      </w:r>
      <w:r>
        <w:rPr>
          <w:rFonts w:hint="eastAsia" w:ascii="仿宋_GB2312" w:eastAsia="仿宋_GB2312"/>
          <w:sz w:val="32"/>
          <w:szCs w:val="32"/>
          <w:shd w:val="clear" w:color="auto" w:fill="FEFEFE"/>
          <w:lang w:eastAsia="zh-CN"/>
        </w:rPr>
        <w:t>潮州市气象灾害防御规定</w:t>
      </w:r>
      <w:r>
        <w:rPr>
          <w:rFonts w:hint="eastAsia" w:ascii="仿宋_GB2312" w:eastAsia="仿宋_GB2312"/>
          <w:sz w:val="32"/>
          <w:szCs w:val="32"/>
          <w:shd w:val="clear" w:color="auto" w:fill="FEFEFE"/>
        </w:rPr>
        <w:t>》规定，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实际</w:t>
      </w:r>
      <w:r>
        <w:rPr>
          <w:rFonts w:hint="eastAsia" w:ascii="仿宋_GB2312" w:eastAsia="仿宋_GB2312"/>
          <w:sz w:val="32"/>
          <w:szCs w:val="32"/>
          <w:shd w:val="clear" w:color="auto" w:fill="FEFEFE"/>
        </w:rPr>
        <w:t>，制定</w:t>
      </w:r>
      <w:r>
        <w:rPr>
          <w:rFonts w:hint="eastAsia" w:ascii="仿宋_GB2312" w:eastAsia="仿宋_GB2312"/>
          <w:sz w:val="32"/>
          <w:szCs w:val="32"/>
          <w:shd w:val="clear" w:color="auto" w:fill="FEFEFE"/>
          <w:lang w:eastAsia="zh-CN"/>
        </w:rPr>
        <w:t>《潮州市气候可行性论证项目指导目录》（以下简称《目录》）</w:t>
      </w:r>
      <w:r>
        <w:rPr>
          <w:rFonts w:hint="eastAsia" w:ascii="仿宋_GB2312" w:eastAsia="仿宋_GB2312"/>
          <w:sz w:val="32"/>
          <w:szCs w:val="32"/>
          <w:shd w:val="clear" w:color="auto" w:fill="FEFEFE"/>
        </w:rPr>
        <w:t>。</w:t>
      </w:r>
    </w:p>
    <w:p>
      <w:pPr>
        <w:snapToGrid w:val="0"/>
        <w:spacing w:line="580" w:lineRule="exact"/>
        <w:ind w:firstLine="635"/>
        <w:rPr>
          <w:rFonts w:hint="eastAsia" w:ascii="仿宋_GB2312" w:eastAsia="仿宋_GB2312"/>
          <w:sz w:val="32"/>
          <w:szCs w:val="32"/>
          <w:shd w:val="clear" w:color="auto" w:fill="FEFEFE"/>
        </w:rPr>
      </w:pPr>
      <w:r>
        <w:rPr>
          <w:rFonts w:hint="eastAsia" w:ascii="仿宋_GB2312" w:eastAsia="仿宋_GB2312"/>
          <w:sz w:val="32"/>
          <w:szCs w:val="32"/>
          <w:shd w:val="clear" w:color="auto" w:fill="FEFEFE"/>
        </w:rPr>
        <w:t>根据《潮州市工程建设项目审批流程图》，</w:t>
      </w:r>
      <w:r>
        <w:rPr>
          <w:rFonts w:hint="eastAsia" w:ascii="仿宋_GB2312" w:eastAsia="仿宋_GB2312"/>
          <w:sz w:val="32"/>
          <w:szCs w:val="32"/>
          <w:shd w:val="clear" w:color="auto" w:fill="FEFEFE"/>
          <w:lang w:eastAsia="zh-CN"/>
        </w:rPr>
        <w:t>列入《目录》的项目，在项目策划生成阶段开展</w:t>
      </w:r>
      <w:r>
        <w:rPr>
          <w:rFonts w:hint="eastAsia" w:ascii="仿宋_GB2312" w:eastAsia="仿宋_GB2312"/>
          <w:sz w:val="32"/>
          <w:szCs w:val="32"/>
          <w:shd w:val="clear" w:color="auto" w:fill="FEFEFE"/>
        </w:rPr>
        <w:t>气候可行性论证</w:t>
      </w:r>
      <w:r>
        <w:rPr>
          <w:rFonts w:hint="eastAsia" w:ascii="仿宋_GB2312" w:eastAsia="仿宋_GB2312"/>
          <w:sz w:val="32"/>
          <w:szCs w:val="32"/>
          <w:shd w:val="clear" w:color="auto" w:fill="FEFEFE"/>
          <w:lang w:eastAsia="zh-CN"/>
        </w:rPr>
        <w:t>，发展和改革、交通运输、水务等部门告知提醒符合《</w:t>
      </w:r>
      <w:r>
        <w:rPr>
          <w:rFonts w:hint="eastAsia" w:ascii="仿宋_GB2312" w:hAnsi="Times New Roman" w:eastAsia="仿宋_GB2312"/>
          <w:sz w:val="32"/>
          <w:szCs w:val="32"/>
          <w:shd w:val="clear" w:color="auto" w:fill="FEFEFE"/>
          <w:lang w:val="en-US" w:eastAsia="zh-CN"/>
        </w:rPr>
        <w:t>目录</w:t>
      </w:r>
      <w:r>
        <w:rPr>
          <w:rFonts w:hint="eastAsia" w:ascii="仿宋_GB2312" w:eastAsia="仿宋_GB2312"/>
          <w:sz w:val="32"/>
          <w:szCs w:val="32"/>
          <w:shd w:val="clear" w:color="auto" w:fill="FEFEFE"/>
          <w:lang w:eastAsia="zh-CN"/>
        </w:rPr>
        <w:t>》的本行业项目落实气候可行性论证，发展和改革、交通运输、水务、气象等部门</w:t>
      </w:r>
      <w:r>
        <w:rPr>
          <w:rFonts w:hint="eastAsia" w:ascii="仿宋_GB2312" w:hAnsi="Times New Roman" w:eastAsia="仿宋_GB2312"/>
          <w:sz w:val="32"/>
          <w:szCs w:val="32"/>
          <w:shd w:val="clear" w:color="auto" w:fill="FEFEFE"/>
        </w:rPr>
        <w:t>建立多部门协同监管机制和信息共享机制</w:t>
      </w:r>
      <w:r>
        <w:rPr>
          <w:rFonts w:hint="eastAsia" w:ascii="仿宋_GB2312" w:hAnsi="Times New Roman" w:eastAsia="仿宋_GB2312"/>
          <w:sz w:val="32"/>
          <w:szCs w:val="32"/>
          <w:shd w:val="clear" w:color="auto" w:fill="FEFEF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EFEFE"/>
          <w:lang w:eastAsia="zh-CN"/>
        </w:rPr>
        <w:t>各级气象主管机构要加强气候可行性论证事中事后监管，强化气候可行性论证项目的督促落实</w:t>
      </w:r>
      <w:r>
        <w:rPr>
          <w:rFonts w:hint="eastAsia" w:ascii="仿宋_GB2312" w:eastAsia="仿宋_GB2312"/>
          <w:sz w:val="32"/>
          <w:szCs w:val="32"/>
          <w:shd w:val="clear" w:color="auto" w:fill="FEFEFE"/>
        </w:rPr>
        <w:t>。</w:t>
      </w:r>
    </w:p>
    <w:p>
      <w:pPr>
        <w:numPr>
          <w:ilvl w:val="0"/>
          <w:numId w:val="0"/>
        </w:numPr>
        <w:snapToGrid w:val="0"/>
        <w:spacing w:line="580" w:lineRule="exact"/>
        <w:ind w:firstLine="635"/>
        <w:rPr>
          <w:rFonts w:hint="eastAsia" w:ascii="仿宋_GB2312" w:eastAsia="仿宋_GB2312"/>
          <w:sz w:val="32"/>
          <w:szCs w:val="32"/>
          <w:shd w:val="clear" w:color="auto" w:fill="FEFEFE"/>
        </w:rPr>
      </w:pPr>
    </w:p>
    <w:p>
      <w:pPr>
        <w:numPr>
          <w:ilvl w:val="0"/>
          <w:numId w:val="0"/>
        </w:numPr>
        <w:snapToGrid w:val="0"/>
        <w:spacing w:line="580" w:lineRule="exact"/>
        <w:ind w:firstLine="635"/>
        <w:rPr>
          <w:rFonts w:hint="eastAsia" w:ascii="仿宋_GB2312" w:eastAsia="仿宋_GB2312"/>
          <w:sz w:val="32"/>
          <w:szCs w:val="32"/>
          <w:shd w:val="clear" w:color="auto" w:fill="FEFEFE"/>
        </w:rPr>
      </w:pPr>
    </w:p>
    <w:p>
      <w:pPr>
        <w:numPr>
          <w:ilvl w:val="0"/>
          <w:numId w:val="0"/>
        </w:numPr>
        <w:snapToGrid w:val="0"/>
        <w:spacing w:line="580" w:lineRule="exact"/>
        <w:ind w:firstLine="0"/>
        <w:rPr>
          <w:rFonts w:hint="eastAsia" w:ascii="仿宋_GB2312" w:eastAsia="仿宋_GB2312"/>
          <w:sz w:val="32"/>
          <w:szCs w:val="32"/>
          <w:shd w:val="clear" w:color="auto" w:fill="FEFEFE"/>
        </w:rPr>
      </w:pPr>
    </w:p>
    <w:p>
      <w:pPr>
        <w:numPr>
          <w:ilvl w:val="0"/>
          <w:numId w:val="0"/>
        </w:numPr>
        <w:snapToGrid w:val="0"/>
        <w:spacing w:line="580" w:lineRule="exact"/>
        <w:ind w:firstLine="0"/>
        <w:rPr>
          <w:rFonts w:hint="eastAsia" w:ascii="仿宋_GB2312" w:eastAsia="仿宋_GB2312"/>
          <w:sz w:val="32"/>
          <w:szCs w:val="32"/>
          <w:shd w:val="clear" w:color="auto" w:fill="FEFEFE"/>
        </w:rPr>
      </w:pPr>
    </w:p>
    <w:p>
      <w:pPr>
        <w:numPr>
          <w:ilvl w:val="0"/>
          <w:numId w:val="0"/>
        </w:numPr>
        <w:snapToGrid w:val="0"/>
        <w:spacing w:line="580" w:lineRule="exact"/>
        <w:ind w:firstLine="0"/>
        <w:rPr>
          <w:rFonts w:hint="eastAsia" w:ascii="仿宋_GB2312" w:eastAsia="仿宋_GB2312"/>
          <w:sz w:val="32"/>
          <w:szCs w:val="32"/>
          <w:shd w:val="clear" w:color="auto" w:fill="FEFEFE"/>
        </w:rPr>
      </w:pPr>
      <w:bookmarkStart w:id="0" w:name="_GoBack"/>
      <w:bookmarkEnd w:id="0"/>
    </w:p>
    <w:p>
      <w:pPr>
        <w:numPr>
          <w:ilvl w:val="0"/>
          <w:numId w:val="0"/>
        </w:numPr>
        <w:snapToGrid w:val="0"/>
        <w:spacing w:line="580" w:lineRule="exact"/>
        <w:ind w:firstLine="635"/>
        <w:rPr>
          <w:rFonts w:hint="eastAsia" w:ascii="仿宋_GB2312" w:eastAsia="仿宋_GB2312"/>
          <w:sz w:val="32"/>
          <w:szCs w:val="32"/>
          <w:shd w:val="clear" w:color="auto" w:fill="FEFEFE"/>
        </w:rPr>
      </w:pPr>
    </w:p>
    <w:p/>
    <w:p/>
    <w:tbl>
      <w:tblPr>
        <w:tblStyle w:val="5"/>
        <w:tblW w:w="9035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548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6" w:type="dxa"/>
            <w:vAlign w:val="top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48" w:type="dxa"/>
            <w:vAlign w:val="top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类 型</w:t>
            </w:r>
          </w:p>
        </w:tc>
        <w:tc>
          <w:tcPr>
            <w:tcW w:w="4701" w:type="dxa"/>
            <w:vAlign w:val="top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规模或标准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sz w:val="21"/>
                <w:szCs w:val="21"/>
              </w:rPr>
              <w:t xml:space="preserve">国土空间规划及专项规划 </w:t>
            </w:r>
          </w:p>
        </w:tc>
        <w:tc>
          <w:tcPr>
            <w:tcW w:w="4701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国土空间总体规划、城市排水规划、海绵城市建设规划、气候适应型城市发展规划、通风廊道规划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、燃气规划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</w:t>
            </w:r>
            <w:r>
              <w:rPr>
                <w:rFonts w:hint="eastAsia" w:ascii="宋体" w:hAnsi="宋体"/>
                <w:szCs w:val="21"/>
                <w:lang w:eastAsia="zh-CN"/>
              </w:rPr>
              <w:t>发展</w:t>
            </w:r>
            <w:r>
              <w:rPr>
                <w:rFonts w:hint="eastAsia" w:ascii="宋体" w:hAnsi="宋体"/>
                <w:szCs w:val="21"/>
              </w:rPr>
              <w:t>规划</w:t>
            </w:r>
          </w:p>
        </w:tc>
        <w:tc>
          <w:tcPr>
            <w:tcW w:w="4701" w:type="dxa"/>
            <w:vAlign w:val="center"/>
          </w:tcPr>
          <w:p>
            <w:pPr>
              <w:spacing w:line="300" w:lineRule="exact"/>
              <w:ind w:firstLine="105" w:firstLineChars="5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城乡建设、经济开发区（工业园区）、行业发展规划、地市以上立项旅游景区、省级自然保护区规划、区域农（牧）业结构调整。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气候资源开发利用规划</w:t>
            </w:r>
          </w:p>
        </w:tc>
        <w:tc>
          <w:tcPr>
            <w:tcW w:w="470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太阳能、风能、旅游气候资源等开发利用规划。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公路、城市道路、轨道交通、索道工程</w:t>
            </w:r>
          </w:p>
        </w:tc>
        <w:tc>
          <w:tcPr>
            <w:tcW w:w="4701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1、高速公路工程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2、城市地铁、轻轨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、轨道交通、城际铁路工程；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3、客(货)运索道工程。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铁路工程</w:t>
            </w:r>
          </w:p>
        </w:tc>
        <w:tc>
          <w:tcPr>
            <w:tcW w:w="4701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1、时速200KM客货共线；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2、Ⅰ级铁路；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3、货运专线；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4、独立特大桥；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5、独立隧道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</w:p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6、客运专线。</w:t>
            </w:r>
          </w:p>
          <w:p>
            <w:pPr>
              <w:spacing w:line="300" w:lineRule="exact"/>
              <w:ind w:left="0"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公路桥梁、城市桥梁和隧道工程</w:t>
            </w:r>
          </w:p>
        </w:tc>
        <w:tc>
          <w:tcPr>
            <w:tcW w:w="4701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1、主跨≥250m拱桥，单跨≥250m预应力混凝土连续结构，≥400m斜拉桥，≥800m悬索桥；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2、连拱隧道、水底隧道、长度≥3000 m的隧道工程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3、城市互通式立交桥。</w:t>
            </w:r>
          </w:p>
          <w:p>
            <w:pPr>
              <w:spacing w:line="300" w:lineRule="exact"/>
              <w:ind w:left="0"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民航机场工程</w:t>
            </w:r>
          </w:p>
        </w:tc>
        <w:tc>
          <w:tcPr>
            <w:tcW w:w="4701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4E及以上场道、空中交通管制及助航灯光工程(大型综合工程含配套措施)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水运工程</w:t>
            </w:r>
          </w:p>
        </w:tc>
        <w:tc>
          <w:tcPr>
            <w:tcW w:w="4701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1、沿海港口、航道工程：码头≥10000t级，航道≥30000 t级；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2、油、气等危险品码头工程≥1000t级；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3、内河港口、航道整治、通航建筑工程：码头、航道整治≥1000t级，船闸≥500t级，升船机≥300t级；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4、航运（电）枢纽工程；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5、修造船厂水工工程：船坞、舾装码头≥10000t级，船台、滑道船体重量≥5000t；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6、水上交通管制工程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水利、发电、送电、变电、核能工程</w:t>
            </w:r>
          </w:p>
        </w:tc>
        <w:tc>
          <w:tcPr>
            <w:tcW w:w="4701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1、单机容量600MW以上凝汽式机组发电工程，新能源发电工程(可再生能源、风电、太阳能发电、潮汐等)；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2、换流站工程，电压等级≥500KV送电、变电工程；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3、核能工程；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4、最大坝高≥ 100 m 或库容≥1亿m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的水库水电工程；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5、总装机容量≥1000MW的水库水电工程；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6、单洞长度≥ 4km 的水工隧洞；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7、工程位于国家级重点环境（生态）保护区内，或毗邻国家级重点环境（生态）保护区，有特殊的环保要求。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105" w:firstLineChars="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市政公用工程</w:t>
            </w:r>
          </w:p>
        </w:tc>
        <w:tc>
          <w:tcPr>
            <w:tcW w:w="4701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、城市高压燃气管网(站)，≥l000m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液化气贮罐场(站)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</w:p>
          <w:p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、垃圾焚烧工程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冶炼工程</w:t>
            </w:r>
          </w:p>
        </w:tc>
        <w:tc>
          <w:tcPr>
            <w:tcW w:w="4701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、火炸药及火工品工程，弹箭引信工程；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、航空主机厂，航天产品总装厂工程；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、核燃料元/组件、铀浓缩、核技术及同位素应用工程；</w:t>
            </w:r>
          </w:p>
          <w:p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、有色、钢铁冶炼(含连铸)工程，轧钢工程。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石油化工工程</w:t>
            </w:r>
          </w:p>
        </w:tc>
        <w:tc>
          <w:tcPr>
            <w:tcW w:w="4701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1、海上油气田工程；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2、长输管道的穿跨越工程；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3、500万吨/年以上的常减压蒸馏及二次加工装置，芳烃抽提、芳烃（PX），乙烯、精对苯二甲酸等单体原料，合成材料，LPG、LNG低温储存运输设施工程；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4、合成氨、制酸、制碱、复合肥、火化工、煤化工工程；</w:t>
            </w:r>
          </w:p>
          <w:p>
            <w:r>
              <w:rPr>
                <w:rFonts w:hint="eastAsia" w:ascii="宋体" w:hAnsi="宋体"/>
                <w:szCs w:val="21"/>
              </w:rPr>
              <w:t>5、核化工、放射性药品工程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高耸建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构</w:t>
            </w:r>
            <w:r>
              <w:rPr>
                <w:rFonts w:hint="eastAsia" w:ascii="宋体" w:hAnsi="宋体"/>
                <w:color w:val="000000"/>
                <w:szCs w:val="21"/>
              </w:rPr>
              <w:t>筑工程</w:t>
            </w:r>
          </w:p>
        </w:tc>
        <w:tc>
          <w:tcPr>
            <w:tcW w:w="4701" w:type="dxa"/>
            <w:vAlign w:val="center"/>
          </w:tcPr>
          <w:p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、高度≥l20m的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建筑物、</w:t>
            </w:r>
            <w:r>
              <w:rPr>
                <w:rFonts w:hint="eastAsia" w:ascii="宋体" w:hAnsi="宋体"/>
                <w:color w:val="000000"/>
                <w:szCs w:val="21"/>
              </w:rPr>
              <w:t>构筑物。</w:t>
            </w:r>
          </w:p>
          <w:p>
            <w:pPr>
              <w:spacing w:line="300" w:lineRule="exact"/>
              <w:jc w:val="both"/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86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354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广播电视、邮政、电信工程</w:t>
            </w:r>
          </w:p>
        </w:tc>
        <w:tc>
          <w:tcPr>
            <w:tcW w:w="4701" w:type="dxa"/>
            <w:vAlign w:val="center"/>
          </w:tcPr>
          <w:p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、电视、调频发射塔(台)设备(中波单机功率P≥10KW，塔高≥200m)工程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035" w:type="dxa"/>
            <w:gridSpan w:val="3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left"/>
              <w:rPr>
                <w:rFonts w:hint="eastAsia" w:ascii="宋体"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kern w:val="0"/>
                <w:szCs w:val="21"/>
              </w:rPr>
              <w:t>其他依照法律、法规和规章的规定需要进行气候分析和论证的项目。</w:t>
            </w:r>
          </w:p>
        </w:tc>
      </w:tr>
    </w:tbl>
    <w:p>
      <w:pPr>
        <w:rPr>
          <w:rFonts w:ascii="宋体" w:hAnsi="宋体"/>
          <w:sz w:val="24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670B6"/>
    <w:rsid w:val="49E10453"/>
    <w:rsid w:val="70A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kb-906-2</dc:creator>
  <cp:lastModifiedBy>涂家建(拟稿)</cp:lastModifiedBy>
  <dcterms:modified xsi:type="dcterms:W3CDTF">2021-11-11T08:35:37Z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